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2893B" w14:textId="77777777" w:rsidR="005823D1" w:rsidRDefault="005823D1" w:rsidP="005823D1">
      <w:pPr>
        <w:pStyle w:val="Heading1"/>
        <w:tabs>
          <w:tab w:val="left" w:pos="4095"/>
        </w:tabs>
        <w:ind w:left="-1418"/>
      </w:pPr>
      <w:bookmarkStart w:id="0" w:name="_Toc510585233"/>
    </w:p>
    <w:p w14:paraId="72B2893C" w14:textId="77777777" w:rsidR="005823D1" w:rsidRDefault="005823D1" w:rsidP="00135B2B">
      <w:pPr>
        <w:tabs>
          <w:tab w:val="left" w:pos="7290"/>
        </w:tabs>
      </w:pPr>
    </w:p>
    <w:p w14:paraId="72B2893D" w14:textId="77777777" w:rsidR="005823D1" w:rsidRDefault="005823D1" w:rsidP="005823D1">
      <w:pPr>
        <w:ind w:left="-1418"/>
      </w:pPr>
    </w:p>
    <w:sdt>
      <w:sdtPr>
        <w:rPr>
          <w:sz w:val="48"/>
          <w:szCs w:val="48"/>
        </w:rPr>
        <w:alias w:val="Report Title"/>
        <w:tag w:val="DT_Report_Title"/>
        <w:id w:val="1877429593"/>
        <w:lock w:val="sdtLocked"/>
        <w:placeholder>
          <w:docPart w:val="D522DB2258FF4B088313C8D800F81CE9"/>
        </w:placeholder>
      </w:sdtPr>
      <w:sdtEndPr/>
      <w:sdtContent>
        <w:p w14:paraId="72B2893E" w14:textId="1395E748" w:rsidR="005823D1" w:rsidRPr="001A209E" w:rsidRDefault="001A209E" w:rsidP="005823D1">
          <w:pPr>
            <w:jc w:val="center"/>
            <w:rPr>
              <w:sz w:val="48"/>
              <w:szCs w:val="48"/>
            </w:rPr>
          </w:pPr>
          <w:r>
            <w:rPr>
              <w:rFonts w:ascii="Arial" w:hAnsi="Arial" w:cs="Arial"/>
              <w:sz w:val="48"/>
              <w:szCs w:val="48"/>
            </w:rPr>
            <w:t>Differences between the National Model Work Health and Safety Regulations</w:t>
          </w:r>
          <w:r w:rsidR="00236322">
            <w:rPr>
              <w:rFonts w:ascii="Arial" w:hAnsi="Arial" w:cs="Arial"/>
              <w:sz w:val="48"/>
              <w:szCs w:val="48"/>
            </w:rPr>
            <w:t xml:space="preserve"> 2019</w:t>
          </w:r>
          <w:r>
            <w:rPr>
              <w:rFonts w:ascii="Arial" w:hAnsi="Arial" w:cs="Arial"/>
              <w:sz w:val="48"/>
              <w:szCs w:val="48"/>
            </w:rPr>
            <w:t xml:space="preserve"> and the </w:t>
          </w:r>
          <w:r>
            <w:rPr>
              <w:rFonts w:ascii="Arial" w:hAnsi="Arial" w:cs="Arial"/>
              <w:sz w:val="48"/>
              <w:szCs w:val="48"/>
            </w:rPr>
            <w:br/>
            <w:t>Occupational Safety and Health Regulations 1996</w:t>
          </w:r>
        </w:p>
      </w:sdtContent>
    </w:sdt>
    <w:p w14:paraId="72B2893F" w14:textId="77777777" w:rsidR="005823D1" w:rsidRDefault="005823D1" w:rsidP="005823D1">
      <w:pPr>
        <w:jc w:val="center"/>
        <w:rPr>
          <w:sz w:val="60"/>
          <w:szCs w:val="60"/>
        </w:rPr>
      </w:pPr>
    </w:p>
    <w:p w14:paraId="72B28940" w14:textId="3BED3019" w:rsidR="005823D1" w:rsidRPr="003140A4" w:rsidRDefault="005823D1" w:rsidP="005823D1">
      <w:pPr>
        <w:jc w:val="center"/>
        <w:rPr>
          <w:sz w:val="32"/>
          <w:szCs w:val="32"/>
        </w:rPr>
      </w:pPr>
    </w:p>
    <w:p w14:paraId="72B28941" w14:textId="77777777" w:rsidR="005823D1" w:rsidRPr="0065203B" w:rsidRDefault="005823D1" w:rsidP="005823D1">
      <w:pPr>
        <w:ind w:left="-1418"/>
      </w:pPr>
    </w:p>
    <w:p w14:paraId="72B28942" w14:textId="77777777" w:rsidR="005823D1" w:rsidRPr="0065203B" w:rsidRDefault="005823D1" w:rsidP="005823D1">
      <w:pPr>
        <w:ind w:left="-1418"/>
        <w:rPr>
          <w:vanish/>
          <w:sz w:val="2"/>
          <w:szCs w:val="2"/>
        </w:rPr>
      </w:pPr>
      <w:r w:rsidRPr="0065203B">
        <w:rPr>
          <w:vanish/>
          <w:sz w:val="2"/>
          <w:szCs w:val="2"/>
        </w:rPr>
        <w:t xml:space="preserve"> </w:t>
      </w:r>
    </w:p>
    <w:p w14:paraId="72B28943" w14:textId="77777777" w:rsidR="005823D1" w:rsidRPr="0065203B" w:rsidRDefault="005823D1" w:rsidP="005823D1">
      <w:pPr>
        <w:ind w:left="-1418"/>
      </w:pPr>
    </w:p>
    <w:p w14:paraId="72B28944" w14:textId="77777777" w:rsidR="005823D1" w:rsidRDefault="005823D1" w:rsidP="005823D1">
      <w:pPr>
        <w:rPr>
          <w:b/>
          <w:sz w:val="32"/>
          <w:szCs w:val="32"/>
        </w:rPr>
        <w:sectPr w:rsidR="005823D1" w:rsidSect="00ED1616">
          <w:headerReference w:type="even" r:id="rId12"/>
          <w:headerReference w:type="default" r:id="rId13"/>
          <w:footerReference w:type="even" r:id="rId14"/>
          <w:footerReference w:type="default" r:id="rId15"/>
          <w:headerReference w:type="first" r:id="rId16"/>
          <w:footerReference w:type="first" r:id="rId17"/>
          <w:pgSz w:w="11907" w:h="16840" w:code="9"/>
          <w:pgMar w:top="2438" w:right="567" w:bottom="1701" w:left="567" w:header="567" w:footer="0" w:gutter="0"/>
          <w:pgNumType w:start="1"/>
          <w:cols w:space="708"/>
          <w:titlePg/>
          <w:docGrid w:linePitch="360"/>
        </w:sectPr>
      </w:pPr>
      <w:bookmarkStart w:id="1" w:name="_Toc234403467"/>
      <w:bookmarkEnd w:id="0"/>
    </w:p>
    <w:bookmarkEnd w:id="1" w:displacedByCustomXml="next"/>
    <w:sdt>
      <w:sdtPr>
        <w:rPr>
          <w:rFonts w:asciiTheme="minorHAnsi" w:eastAsia="Times New Roman" w:hAnsiTheme="minorHAnsi" w:cs="Times New Roman"/>
          <w:b w:val="0"/>
          <w:bCs w:val="0"/>
          <w:noProof/>
          <w:sz w:val="24"/>
          <w:szCs w:val="24"/>
          <w:lang w:val="en-AU" w:bidi="ar-SA"/>
        </w:rPr>
        <w:id w:val="-320047496"/>
        <w:docPartObj>
          <w:docPartGallery w:val="Table of Contents"/>
          <w:docPartUnique/>
        </w:docPartObj>
      </w:sdtPr>
      <w:sdtEndPr>
        <w:rPr>
          <w:rFonts w:cstheme="minorBidi"/>
          <w:sz w:val="22"/>
        </w:rPr>
      </w:sdtEndPr>
      <w:sdtContent>
        <w:p w14:paraId="72B28945" w14:textId="77777777" w:rsidR="00332702" w:rsidRDefault="00332702">
          <w:pPr>
            <w:pStyle w:val="TOCHeading"/>
          </w:pPr>
          <w:r>
            <w:t>Contents</w:t>
          </w:r>
        </w:p>
        <w:p w14:paraId="5E341D07" w14:textId="12536453" w:rsidR="007F15E7" w:rsidRDefault="00332702">
          <w:pPr>
            <w:pStyle w:val="TOC1"/>
            <w:rPr>
              <w:rFonts w:eastAsiaTheme="minorEastAsia"/>
              <w:szCs w:val="22"/>
              <w:lang w:eastAsia="en-AU"/>
            </w:rPr>
          </w:pPr>
          <w:r>
            <w:fldChar w:fldCharType="begin"/>
          </w:r>
          <w:r>
            <w:instrText xml:space="preserve"> TOC \o "1-3" \h \z \u </w:instrText>
          </w:r>
          <w:r>
            <w:fldChar w:fldCharType="separate"/>
          </w:r>
          <w:hyperlink w:anchor="_Toc17104595" w:history="1">
            <w:r w:rsidR="007F15E7" w:rsidRPr="008029B9">
              <w:rPr>
                <w:rStyle w:val="Hyperlink"/>
              </w:rPr>
              <w:t>Introduction</w:t>
            </w:r>
            <w:r w:rsidR="007F15E7">
              <w:rPr>
                <w:webHidden/>
              </w:rPr>
              <w:tab/>
            </w:r>
            <w:r w:rsidR="007F15E7">
              <w:rPr>
                <w:webHidden/>
              </w:rPr>
              <w:fldChar w:fldCharType="begin"/>
            </w:r>
            <w:r w:rsidR="007F15E7">
              <w:rPr>
                <w:webHidden/>
              </w:rPr>
              <w:instrText xml:space="preserve"> PAGEREF _Toc17104595 \h </w:instrText>
            </w:r>
            <w:r w:rsidR="007F15E7">
              <w:rPr>
                <w:webHidden/>
              </w:rPr>
            </w:r>
            <w:r w:rsidR="007F15E7">
              <w:rPr>
                <w:webHidden/>
              </w:rPr>
              <w:fldChar w:fldCharType="separate"/>
            </w:r>
            <w:r w:rsidR="007F15E7">
              <w:rPr>
                <w:webHidden/>
              </w:rPr>
              <w:t>6</w:t>
            </w:r>
            <w:r w:rsidR="007F15E7">
              <w:rPr>
                <w:webHidden/>
              </w:rPr>
              <w:fldChar w:fldCharType="end"/>
            </w:r>
          </w:hyperlink>
        </w:p>
        <w:p w14:paraId="104A8EEE" w14:textId="4AC1F57A" w:rsidR="007F15E7" w:rsidRDefault="00461F99">
          <w:pPr>
            <w:pStyle w:val="TOC2"/>
            <w:rPr>
              <w:rFonts w:eastAsiaTheme="minorEastAsia"/>
              <w:sz w:val="22"/>
              <w:szCs w:val="22"/>
              <w:lang w:eastAsia="en-AU"/>
            </w:rPr>
          </w:pPr>
          <w:hyperlink w:anchor="_Toc17104596" w:history="1">
            <w:r w:rsidR="007F15E7" w:rsidRPr="008029B9">
              <w:rPr>
                <w:rStyle w:val="Hyperlink"/>
              </w:rPr>
              <w:t>Demolition licensing, Commercial driver fatigue and Protection from tobacco smoke – unique provisions from the Occupational Safety and Health Regulations 1996</w:t>
            </w:r>
            <w:r w:rsidR="007F15E7">
              <w:rPr>
                <w:webHidden/>
              </w:rPr>
              <w:tab/>
            </w:r>
            <w:r w:rsidR="007F15E7">
              <w:rPr>
                <w:webHidden/>
              </w:rPr>
              <w:fldChar w:fldCharType="begin"/>
            </w:r>
            <w:r w:rsidR="007F15E7">
              <w:rPr>
                <w:webHidden/>
              </w:rPr>
              <w:instrText xml:space="preserve"> PAGEREF _Toc17104596 \h </w:instrText>
            </w:r>
            <w:r w:rsidR="007F15E7">
              <w:rPr>
                <w:webHidden/>
              </w:rPr>
            </w:r>
            <w:r w:rsidR="007F15E7">
              <w:rPr>
                <w:webHidden/>
              </w:rPr>
              <w:fldChar w:fldCharType="separate"/>
            </w:r>
            <w:r w:rsidR="007F15E7">
              <w:rPr>
                <w:webHidden/>
              </w:rPr>
              <w:t>7</w:t>
            </w:r>
            <w:r w:rsidR="007F15E7">
              <w:rPr>
                <w:webHidden/>
              </w:rPr>
              <w:fldChar w:fldCharType="end"/>
            </w:r>
          </w:hyperlink>
        </w:p>
        <w:p w14:paraId="1759FDD4" w14:textId="55D0F8B7" w:rsidR="007F15E7" w:rsidRDefault="00461F99">
          <w:pPr>
            <w:pStyle w:val="TOC2"/>
            <w:rPr>
              <w:rFonts w:eastAsiaTheme="minorEastAsia"/>
              <w:sz w:val="22"/>
              <w:szCs w:val="22"/>
              <w:lang w:eastAsia="en-AU"/>
            </w:rPr>
          </w:pPr>
          <w:hyperlink w:anchor="_Toc17104597" w:history="1">
            <w:r w:rsidR="007F15E7" w:rsidRPr="008029B9">
              <w:rPr>
                <w:rStyle w:val="Hyperlink"/>
              </w:rPr>
              <w:t>Mines and petroleum and geothermal energy operations</w:t>
            </w:r>
            <w:r w:rsidR="007F15E7">
              <w:rPr>
                <w:webHidden/>
              </w:rPr>
              <w:tab/>
            </w:r>
            <w:r w:rsidR="007F15E7">
              <w:rPr>
                <w:webHidden/>
              </w:rPr>
              <w:fldChar w:fldCharType="begin"/>
            </w:r>
            <w:r w:rsidR="007F15E7">
              <w:rPr>
                <w:webHidden/>
              </w:rPr>
              <w:instrText xml:space="preserve"> PAGEREF _Toc17104597 \h </w:instrText>
            </w:r>
            <w:r w:rsidR="007F15E7">
              <w:rPr>
                <w:webHidden/>
              </w:rPr>
            </w:r>
            <w:r w:rsidR="007F15E7">
              <w:rPr>
                <w:webHidden/>
              </w:rPr>
              <w:fldChar w:fldCharType="separate"/>
            </w:r>
            <w:r w:rsidR="007F15E7">
              <w:rPr>
                <w:webHidden/>
              </w:rPr>
              <w:t>8</w:t>
            </w:r>
            <w:r w:rsidR="007F15E7">
              <w:rPr>
                <w:webHidden/>
              </w:rPr>
              <w:fldChar w:fldCharType="end"/>
            </w:r>
          </w:hyperlink>
        </w:p>
        <w:p w14:paraId="726B7EC9" w14:textId="51F1C904" w:rsidR="007F15E7" w:rsidRDefault="00461F99">
          <w:pPr>
            <w:pStyle w:val="TOC2"/>
            <w:rPr>
              <w:rFonts w:eastAsiaTheme="minorEastAsia"/>
              <w:sz w:val="22"/>
              <w:szCs w:val="22"/>
              <w:lang w:eastAsia="en-AU"/>
            </w:rPr>
          </w:pPr>
          <w:hyperlink w:anchor="_Toc17104598" w:history="1">
            <w:r w:rsidR="007F15E7" w:rsidRPr="008029B9">
              <w:rPr>
                <w:rStyle w:val="Hyperlink"/>
              </w:rPr>
              <w:t>Commission for Occupational Safety and Health</w:t>
            </w:r>
            <w:r w:rsidR="007F15E7">
              <w:rPr>
                <w:webHidden/>
              </w:rPr>
              <w:tab/>
            </w:r>
            <w:r w:rsidR="007F15E7">
              <w:rPr>
                <w:webHidden/>
              </w:rPr>
              <w:fldChar w:fldCharType="begin"/>
            </w:r>
            <w:r w:rsidR="007F15E7">
              <w:rPr>
                <w:webHidden/>
              </w:rPr>
              <w:instrText xml:space="preserve"> PAGEREF _Toc17104598 \h </w:instrText>
            </w:r>
            <w:r w:rsidR="007F15E7">
              <w:rPr>
                <w:webHidden/>
              </w:rPr>
            </w:r>
            <w:r w:rsidR="007F15E7">
              <w:rPr>
                <w:webHidden/>
              </w:rPr>
              <w:fldChar w:fldCharType="separate"/>
            </w:r>
            <w:r w:rsidR="007F15E7">
              <w:rPr>
                <w:webHidden/>
              </w:rPr>
              <w:t>8</w:t>
            </w:r>
            <w:r w:rsidR="007F15E7">
              <w:rPr>
                <w:webHidden/>
              </w:rPr>
              <w:fldChar w:fldCharType="end"/>
            </w:r>
          </w:hyperlink>
        </w:p>
        <w:p w14:paraId="20EBDDE2" w14:textId="34A598FF" w:rsidR="007F15E7" w:rsidRDefault="00461F99">
          <w:pPr>
            <w:pStyle w:val="TOC2"/>
            <w:rPr>
              <w:rFonts w:eastAsiaTheme="minorEastAsia"/>
              <w:sz w:val="22"/>
              <w:szCs w:val="22"/>
              <w:lang w:eastAsia="en-AU"/>
            </w:rPr>
          </w:pPr>
          <w:hyperlink w:anchor="_Toc17104599" w:history="1">
            <w:r w:rsidR="007F15E7" w:rsidRPr="008029B9">
              <w:rPr>
                <w:rStyle w:val="Hyperlink"/>
                <w:lang w:eastAsia="en-AU"/>
              </w:rPr>
              <w:t xml:space="preserve">Comparison Table – </w:t>
            </w:r>
            <w:r w:rsidR="007F15E7" w:rsidRPr="008029B9">
              <w:rPr>
                <w:rStyle w:val="Hyperlink"/>
              </w:rPr>
              <w:t>Differences between the National Model Work Health and Safety Regulations 2019 and the Occupational Safety and Health Regulations 1996</w:t>
            </w:r>
            <w:r w:rsidR="007F15E7">
              <w:rPr>
                <w:webHidden/>
              </w:rPr>
              <w:tab/>
            </w:r>
            <w:r w:rsidR="007F15E7">
              <w:rPr>
                <w:webHidden/>
              </w:rPr>
              <w:fldChar w:fldCharType="begin"/>
            </w:r>
            <w:r w:rsidR="007F15E7">
              <w:rPr>
                <w:webHidden/>
              </w:rPr>
              <w:instrText xml:space="preserve"> PAGEREF _Toc17104599 \h </w:instrText>
            </w:r>
            <w:r w:rsidR="007F15E7">
              <w:rPr>
                <w:webHidden/>
              </w:rPr>
            </w:r>
            <w:r w:rsidR="007F15E7">
              <w:rPr>
                <w:webHidden/>
              </w:rPr>
              <w:fldChar w:fldCharType="separate"/>
            </w:r>
            <w:r w:rsidR="007F15E7">
              <w:rPr>
                <w:webHidden/>
              </w:rPr>
              <w:t>9</w:t>
            </w:r>
            <w:r w:rsidR="007F15E7">
              <w:rPr>
                <w:webHidden/>
              </w:rPr>
              <w:fldChar w:fldCharType="end"/>
            </w:r>
          </w:hyperlink>
        </w:p>
        <w:p w14:paraId="13ABDA21" w14:textId="6D74A77E" w:rsidR="007F15E7" w:rsidRDefault="00461F99">
          <w:pPr>
            <w:pStyle w:val="TOC1"/>
            <w:rPr>
              <w:rFonts w:eastAsiaTheme="minorEastAsia"/>
              <w:szCs w:val="22"/>
              <w:lang w:eastAsia="en-AU"/>
            </w:rPr>
          </w:pPr>
          <w:hyperlink w:anchor="_Toc17104600" w:history="1">
            <w:r w:rsidR="007F15E7" w:rsidRPr="008029B9">
              <w:rPr>
                <w:rStyle w:val="Hyperlink"/>
              </w:rPr>
              <w:t>Chapter one – Preliminary</w:t>
            </w:r>
            <w:r w:rsidR="007F15E7">
              <w:rPr>
                <w:webHidden/>
              </w:rPr>
              <w:tab/>
            </w:r>
            <w:r w:rsidR="007F15E7">
              <w:rPr>
                <w:webHidden/>
              </w:rPr>
              <w:fldChar w:fldCharType="begin"/>
            </w:r>
            <w:r w:rsidR="007F15E7">
              <w:rPr>
                <w:webHidden/>
              </w:rPr>
              <w:instrText xml:space="preserve"> PAGEREF _Toc17104600 \h </w:instrText>
            </w:r>
            <w:r w:rsidR="007F15E7">
              <w:rPr>
                <w:webHidden/>
              </w:rPr>
            </w:r>
            <w:r w:rsidR="007F15E7">
              <w:rPr>
                <w:webHidden/>
              </w:rPr>
              <w:fldChar w:fldCharType="separate"/>
            </w:r>
            <w:r w:rsidR="007F15E7">
              <w:rPr>
                <w:webHidden/>
              </w:rPr>
              <w:t>10</w:t>
            </w:r>
            <w:r w:rsidR="007F15E7">
              <w:rPr>
                <w:webHidden/>
              </w:rPr>
              <w:fldChar w:fldCharType="end"/>
            </w:r>
          </w:hyperlink>
        </w:p>
        <w:p w14:paraId="42DBF237" w14:textId="1BEC747A" w:rsidR="007F15E7" w:rsidRDefault="00461F99">
          <w:pPr>
            <w:pStyle w:val="TOC2"/>
            <w:tabs>
              <w:tab w:val="left" w:pos="1701"/>
            </w:tabs>
            <w:rPr>
              <w:rFonts w:eastAsiaTheme="minorEastAsia"/>
              <w:sz w:val="22"/>
              <w:szCs w:val="22"/>
              <w:lang w:eastAsia="en-AU"/>
            </w:rPr>
          </w:pPr>
          <w:hyperlink w:anchor="_Toc17104601" w:history="1">
            <w:r w:rsidR="007F15E7" w:rsidRPr="008029B9">
              <w:rPr>
                <w:rStyle w:val="Hyperlink"/>
              </w:rPr>
              <w:t>1.</w:t>
            </w:r>
            <w:r w:rsidR="007F15E7">
              <w:rPr>
                <w:rFonts w:eastAsiaTheme="minorEastAsia"/>
                <w:sz w:val="22"/>
                <w:szCs w:val="22"/>
                <w:lang w:eastAsia="en-AU"/>
              </w:rPr>
              <w:tab/>
            </w:r>
            <w:r w:rsidR="007F15E7" w:rsidRPr="008029B9">
              <w:rPr>
                <w:rStyle w:val="Hyperlink"/>
              </w:rPr>
              <w:t>Commencement date</w:t>
            </w:r>
            <w:r w:rsidR="007F15E7">
              <w:rPr>
                <w:webHidden/>
              </w:rPr>
              <w:tab/>
            </w:r>
            <w:r w:rsidR="007F15E7">
              <w:rPr>
                <w:webHidden/>
              </w:rPr>
              <w:fldChar w:fldCharType="begin"/>
            </w:r>
            <w:r w:rsidR="007F15E7">
              <w:rPr>
                <w:webHidden/>
              </w:rPr>
              <w:instrText xml:space="preserve"> PAGEREF _Toc17104601 \h </w:instrText>
            </w:r>
            <w:r w:rsidR="007F15E7">
              <w:rPr>
                <w:webHidden/>
              </w:rPr>
            </w:r>
            <w:r w:rsidR="007F15E7">
              <w:rPr>
                <w:webHidden/>
              </w:rPr>
              <w:fldChar w:fldCharType="separate"/>
            </w:r>
            <w:r w:rsidR="007F15E7">
              <w:rPr>
                <w:webHidden/>
              </w:rPr>
              <w:t>10</w:t>
            </w:r>
            <w:r w:rsidR="007F15E7">
              <w:rPr>
                <w:webHidden/>
              </w:rPr>
              <w:fldChar w:fldCharType="end"/>
            </w:r>
          </w:hyperlink>
        </w:p>
        <w:p w14:paraId="0AE7F3BD" w14:textId="1AEA5D39" w:rsidR="007F15E7" w:rsidRDefault="00461F99">
          <w:pPr>
            <w:pStyle w:val="TOC2"/>
            <w:tabs>
              <w:tab w:val="left" w:pos="1701"/>
            </w:tabs>
            <w:rPr>
              <w:rFonts w:eastAsiaTheme="minorEastAsia"/>
              <w:sz w:val="22"/>
              <w:szCs w:val="22"/>
              <w:lang w:eastAsia="en-AU"/>
            </w:rPr>
          </w:pPr>
          <w:hyperlink w:anchor="_Toc17104602" w:history="1">
            <w:r w:rsidR="007F15E7" w:rsidRPr="008029B9">
              <w:rPr>
                <w:rStyle w:val="Hyperlink"/>
              </w:rPr>
              <w:t>2.</w:t>
            </w:r>
            <w:r w:rsidR="007F15E7">
              <w:rPr>
                <w:rFonts w:eastAsiaTheme="minorEastAsia"/>
                <w:sz w:val="22"/>
                <w:szCs w:val="22"/>
                <w:lang w:eastAsia="en-AU"/>
              </w:rPr>
              <w:tab/>
            </w:r>
            <w:r w:rsidR="007F15E7" w:rsidRPr="008029B9">
              <w:rPr>
                <w:rStyle w:val="Hyperlink"/>
              </w:rPr>
              <w:t>Requirement for regulator to provide a response within 14 days</w:t>
            </w:r>
            <w:r w:rsidR="007F15E7">
              <w:rPr>
                <w:webHidden/>
              </w:rPr>
              <w:tab/>
            </w:r>
            <w:r w:rsidR="007F15E7">
              <w:rPr>
                <w:webHidden/>
              </w:rPr>
              <w:fldChar w:fldCharType="begin"/>
            </w:r>
            <w:r w:rsidR="007F15E7">
              <w:rPr>
                <w:webHidden/>
              </w:rPr>
              <w:instrText xml:space="preserve"> PAGEREF _Toc17104602 \h </w:instrText>
            </w:r>
            <w:r w:rsidR="007F15E7">
              <w:rPr>
                <w:webHidden/>
              </w:rPr>
            </w:r>
            <w:r w:rsidR="007F15E7">
              <w:rPr>
                <w:webHidden/>
              </w:rPr>
              <w:fldChar w:fldCharType="separate"/>
            </w:r>
            <w:r w:rsidR="007F15E7">
              <w:rPr>
                <w:webHidden/>
              </w:rPr>
              <w:t>10</w:t>
            </w:r>
            <w:r w:rsidR="007F15E7">
              <w:rPr>
                <w:webHidden/>
              </w:rPr>
              <w:fldChar w:fldCharType="end"/>
            </w:r>
          </w:hyperlink>
        </w:p>
        <w:p w14:paraId="7F7E3F45" w14:textId="51A9160E" w:rsidR="007F15E7" w:rsidRDefault="00461F99">
          <w:pPr>
            <w:pStyle w:val="TOC2"/>
            <w:tabs>
              <w:tab w:val="left" w:pos="1701"/>
            </w:tabs>
            <w:rPr>
              <w:rFonts w:eastAsiaTheme="minorEastAsia"/>
              <w:sz w:val="22"/>
              <w:szCs w:val="22"/>
              <w:lang w:eastAsia="en-AU"/>
            </w:rPr>
          </w:pPr>
          <w:hyperlink w:anchor="_Toc17104603" w:history="1">
            <w:r w:rsidR="007F15E7" w:rsidRPr="008029B9">
              <w:rPr>
                <w:rStyle w:val="Hyperlink"/>
              </w:rPr>
              <w:t>3.</w:t>
            </w:r>
            <w:r w:rsidR="007F15E7">
              <w:rPr>
                <w:rFonts w:eastAsiaTheme="minorEastAsia"/>
                <w:sz w:val="22"/>
                <w:szCs w:val="22"/>
                <w:lang w:eastAsia="en-AU"/>
              </w:rPr>
              <w:tab/>
            </w:r>
            <w:r w:rsidR="007F15E7" w:rsidRPr="008029B9">
              <w:rPr>
                <w:rStyle w:val="Hyperlink"/>
              </w:rPr>
              <w:t>Definition (r. 5) – accredited assessor</w:t>
            </w:r>
            <w:r w:rsidR="007F15E7">
              <w:rPr>
                <w:webHidden/>
              </w:rPr>
              <w:tab/>
            </w:r>
            <w:r w:rsidR="007F15E7">
              <w:rPr>
                <w:webHidden/>
              </w:rPr>
              <w:fldChar w:fldCharType="begin"/>
            </w:r>
            <w:r w:rsidR="007F15E7">
              <w:rPr>
                <w:webHidden/>
              </w:rPr>
              <w:instrText xml:space="preserve"> PAGEREF _Toc17104603 \h </w:instrText>
            </w:r>
            <w:r w:rsidR="007F15E7">
              <w:rPr>
                <w:webHidden/>
              </w:rPr>
            </w:r>
            <w:r w:rsidR="007F15E7">
              <w:rPr>
                <w:webHidden/>
              </w:rPr>
              <w:fldChar w:fldCharType="separate"/>
            </w:r>
            <w:r w:rsidR="007F15E7">
              <w:rPr>
                <w:webHidden/>
              </w:rPr>
              <w:t>10</w:t>
            </w:r>
            <w:r w:rsidR="007F15E7">
              <w:rPr>
                <w:webHidden/>
              </w:rPr>
              <w:fldChar w:fldCharType="end"/>
            </w:r>
          </w:hyperlink>
        </w:p>
        <w:p w14:paraId="294E4150" w14:textId="4F73066E" w:rsidR="007F15E7" w:rsidRDefault="00461F99">
          <w:pPr>
            <w:pStyle w:val="TOC2"/>
            <w:tabs>
              <w:tab w:val="left" w:pos="1701"/>
            </w:tabs>
            <w:rPr>
              <w:rFonts w:eastAsiaTheme="minorEastAsia"/>
              <w:sz w:val="22"/>
              <w:szCs w:val="22"/>
              <w:lang w:eastAsia="en-AU"/>
            </w:rPr>
          </w:pPr>
          <w:hyperlink w:anchor="_Toc17104604" w:history="1">
            <w:r w:rsidR="007F15E7" w:rsidRPr="008029B9">
              <w:rPr>
                <w:rStyle w:val="Hyperlink"/>
              </w:rPr>
              <w:t>4.</w:t>
            </w:r>
            <w:r w:rsidR="007F15E7">
              <w:rPr>
                <w:rFonts w:eastAsiaTheme="minorEastAsia"/>
                <w:sz w:val="22"/>
                <w:szCs w:val="22"/>
                <w:lang w:eastAsia="en-AU"/>
              </w:rPr>
              <w:tab/>
            </w:r>
            <w:r w:rsidR="007F15E7" w:rsidRPr="008029B9">
              <w:rPr>
                <w:rStyle w:val="Hyperlink"/>
              </w:rPr>
              <w:t>Boilers - Definitions</w:t>
            </w:r>
            <w:r w:rsidR="007F15E7">
              <w:rPr>
                <w:webHidden/>
              </w:rPr>
              <w:tab/>
            </w:r>
            <w:r w:rsidR="007F15E7">
              <w:rPr>
                <w:webHidden/>
              </w:rPr>
              <w:fldChar w:fldCharType="begin"/>
            </w:r>
            <w:r w:rsidR="007F15E7">
              <w:rPr>
                <w:webHidden/>
              </w:rPr>
              <w:instrText xml:space="preserve"> PAGEREF _Toc17104604 \h </w:instrText>
            </w:r>
            <w:r w:rsidR="007F15E7">
              <w:rPr>
                <w:webHidden/>
              </w:rPr>
            </w:r>
            <w:r w:rsidR="007F15E7">
              <w:rPr>
                <w:webHidden/>
              </w:rPr>
              <w:fldChar w:fldCharType="separate"/>
            </w:r>
            <w:r w:rsidR="007F15E7">
              <w:rPr>
                <w:webHidden/>
              </w:rPr>
              <w:t>10</w:t>
            </w:r>
            <w:r w:rsidR="007F15E7">
              <w:rPr>
                <w:webHidden/>
              </w:rPr>
              <w:fldChar w:fldCharType="end"/>
            </w:r>
          </w:hyperlink>
        </w:p>
        <w:p w14:paraId="3A2C6EA8" w14:textId="51091A48" w:rsidR="007F15E7" w:rsidRDefault="00461F99">
          <w:pPr>
            <w:pStyle w:val="TOC2"/>
            <w:tabs>
              <w:tab w:val="left" w:pos="1701"/>
            </w:tabs>
            <w:rPr>
              <w:rFonts w:eastAsiaTheme="minorEastAsia"/>
              <w:sz w:val="22"/>
              <w:szCs w:val="22"/>
              <w:lang w:eastAsia="en-AU"/>
            </w:rPr>
          </w:pPr>
          <w:hyperlink w:anchor="_Toc17104605" w:history="1">
            <w:r w:rsidR="007F15E7" w:rsidRPr="008029B9">
              <w:rPr>
                <w:rStyle w:val="Hyperlink"/>
              </w:rPr>
              <w:t>5.</w:t>
            </w:r>
            <w:r w:rsidR="007F15E7">
              <w:rPr>
                <w:rFonts w:eastAsiaTheme="minorEastAsia"/>
                <w:sz w:val="22"/>
                <w:szCs w:val="22"/>
                <w:lang w:eastAsia="en-AU"/>
              </w:rPr>
              <w:tab/>
            </w:r>
            <w:r w:rsidR="007F15E7" w:rsidRPr="008029B9">
              <w:rPr>
                <w:rStyle w:val="Hyperlink"/>
              </w:rPr>
              <w:t>Definitions– combustible liquid</w:t>
            </w:r>
            <w:r w:rsidR="007F15E7">
              <w:rPr>
                <w:webHidden/>
              </w:rPr>
              <w:tab/>
            </w:r>
            <w:r w:rsidR="007F15E7">
              <w:rPr>
                <w:webHidden/>
              </w:rPr>
              <w:fldChar w:fldCharType="begin"/>
            </w:r>
            <w:r w:rsidR="007F15E7">
              <w:rPr>
                <w:webHidden/>
              </w:rPr>
              <w:instrText xml:space="preserve"> PAGEREF _Toc17104605 \h </w:instrText>
            </w:r>
            <w:r w:rsidR="007F15E7">
              <w:rPr>
                <w:webHidden/>
              </w:rPr>
            </w:r>
            <w:r w:rsidR="007F15E7">
              <w:rPr>
                <w:webHidden/>
              </w:rPr>
              <w:fldChar w:fldCharType="separate"/>
            </w:r>
            <w:r w:rsidR="007F15E7">
              <w:rPr>
                <w:webHidden/>
              </w:rPr>
              <w:t>10</w:t>
            </w:r>
            <w:r w:rsidR="007F15E7">
              <w:rPr>
                <w:webHidden/>
              </w:rPr>
              <w:fldChar w:fldCharType="end"/>
            </w:r>
          </w:hyperlink>
        </w:p>
        <w:p w14:paraId="559DFFA4" w14:textId="2F5ADA21" w:rsidR="007F15E7" w:rsidRDefault="00461F99">
          <w:pPr>
            <w:pStyle w:val="TOC2"/>
            <w:tabs>
              <w:tab w:val="left" w:pos="1701"/>
            </w:tabs>
            <w:rPr>
              <w:rFonts w:eastAsiaTheme="minorEastAsia"/>
              <w:sz w:val="22"/>
              <w:szCs w:val="22"/>
              <w:lang w:eastAsia="en-AU"/>
            </w:rPr>
          </w:pPr>
          <w:hyperlink w:anchor="_Toc17104606" w:history="1">
            <w:r w:rsidR="007F15E7" w:rsidRPr="008029B9">
              <w:rPr>
                <w:rStyle w:val="Hyperlink"/>
              </w:rPr>
              <w:t>6.</w:t>
            </w:r>
            <w:r w:rsidR="007F15E7">
              <w:rPr>
                <w:rFonts w:eastAsiaTheme="minorEastAsia"/>
                <w:sz w:val="22"/>
                <w:szCs w:val="22"/>
                <w:lang w:eastAsia="en-AU"/>
              </w:rPr>
              <w:tab/>
            </w:r>
            <w:r w:rsidR="007F15E7" w:rsidRPr="008029B9">
              <w:rPr>
                <w:rStyle w:val="Hyperlink"/>
              </w:rPr>
              <w:t>Definitions – confined space</w:t>
            </w:r>
            <w:r w:rsidR="007F15E7">
              <w:rPr>
                <w:webHidden/>
              </w:rPr>
              <w:tab/>
            </w:r>
            <w:r w:rsidR="007F15E7">
              <w:rPr>
                <w:webHidden/>
              </w:rPr>
              <w:fldChar w:fldCharType="begin"/>
            </w:r>
            <w:r w:rsidR="007F15E7">
              <w:rPr>
                <w:webHidden/>
              </w:rPr>
              <w:instrText xml:space="preserve"> PAGEREF _Toc17104606 \h </w:instrText>
            </w:r>
            <w:r w:rsidR="007F15E7">
              <w:rPr>
                <w:webHidden/>
              </w:rPr>
            </w:r>
            <w:r w:rsidR="007F15E7">
              <w:rPr>
                <w:webHidden/>
              </w:rPr>
              <w:fldChar w:fldCharType="separate"/>
            </w:r>
            <w:r w:rsidR="007F15E7">
              <w:rPr>
                <w:webHidden/>
              </w:rPr>
              <w:t>11</w:t>
            </w:r>
            <w:r w:rsidR="007F15E7">
              <w:rPr>
                <w:webHidden/>
              </w:rPr>
              <w:fldChar w:fldCharType="end"/>
            </w:r>
          </w:hyperlink>
        </w:p>
        <w:p w14:paraId="296523E6" w14:textId="5D7200B7" w:rsidR="007F15E7" w:rsidRDefault="00461F99">
          <w:pPr>
            <w:pStyle w:val="TOC2"/>
            <w:tabs>
              <w:tab w:val="left" w:pos="1701"/>
            </w:tabs>
            <w:rPr>
              <w:rFonts w:eastAsiaTheme="minorEastAsia"/>
              <w:sz w:val="22"/>
              <w:szCs w:val="22"/>
              <w:lang w:eastAsia="en-AU"/>
            </w:rPr>
          </w:pPr>
          <w:hyperlink w:anchor="_Toc17104607" w:history="1">
            <w:r w:rsidR="007F15E7" w:rsidRPr="008029B9">
              <w:rPr>
                <w:rStyle w:val="Hyperlink"/>
              </w:rPr>
              <w:t>7.</w:t>
            </w:r>
            <w:r w:rsidR="007F15E7">
              <w:rPr>
                <w:rFonts w:eastAsiaTheme="minorEastAsia"/>
                <w:sz w:val="22"/>
                <w:szCs w:val="22"/>
                <w:lang w:eastAsia="en-AU"/>
              </w:rPr>
              <w:tab/>
            </w:r>
            <w:r w:rsidR="007F15E7" w:rsidRPr="008029B9">
              <w:rPr>
                <w:rStyle w:val="Hyperlink"/>
              </w:rPr>
              <w:t>Definitions – emergency service organisation</w:t>
            </w:r>
            <w:r w:rsidR="007F15E7">
              <w:rPr>
                <w:webHidden/>
              </w:rPr>
              <w:tab/>
            </w:r>
            <w:r w:rsidR="007F15E7">
              <w:rPr>
                <w:webHidden/>
              </w:rPr>
              <w:fldChar w:fldCharType="begin"/>
            </w:r>
            <w:r w:rsidR="007F15E7">
              <w:rPr>
                <w:webHidden/>
              </w:rPr>
              <w:instrText xml:space="preserve"> PAGEREF _Toc17104607 \h </w:instrText>
            </w:r>
            <w:r w:rsidR="007F15E7">
              <w:rPr>
                <w:webHidden/>
              </w:rPr>
            </w:r>
            <w:r w:rsidR="007F15E7">
              <w:rPr>
                <w:webHidden/>
              </w:rPr>
              <w:fldChar w:fldCharType="separate"/>
            </w:r>
            <w:r w:rsidR="007F15E7">
              <w:rPr>
                <w:webHidden/>
              </w:rPr>
              <w:t>11</w:t>
            </w:r>
            <w:r w:rsidR="007F15E7">
              <w:rPr>
                <w:webHidden/>
              </w:rPr>
              <w:fldChar w:fldCharType="end"/>
            </w:r>
          </w:hyperlink>
        </w:p>
        <w:p w14:paraId="281F08EC" w14:textId="26086964" w:rsidR="007F15E7" w:rsidRDefault="00461F99">
          <w:pPr>
            <w:pStyle w:val="TOC2"/>
            <w:tabs>
              <w:tab w:val="left" w:pos="1701"/>
            </w:tabs>
            <w:rPr>
              <w:rFonts w:eastAsiaTheme="minorEastAsia"/>
              <w:sz w:val="22"/>
              <w:szCs w:val="22"/>
              <w:lang w:eastAsia="en-AU"/>
            </w:rPr>
          </w:pPr>
          <w:hyperlink w:anchor="_Toc17104608" w:history="1">
            <w:r w:rsidR="007F15E7" w:rsidRPr="008029B9">
              <w:rPr>
                <w:rStyle w:val="Hyperlink"/>
              </w:rPr>
              <w:t>8.</w:t>
            </w:r>
            <w:r w:rsidR="007F15E7">
              <w:rPr>
                <w:rFonts w:eastAsiaTheme="minorEastAsia"/>
                <w:sz w:val="22"/>
                <w:szCs w:val="22"/>
                <w:lang w:eastAsia="en-AU"/>
              </w:rPr>
              <w:tab/>
            </w:r>
            <w:r w:rsidR="007F15E7" w:rsidRPr="008029B9">
              <w:rPr>
                <w:rStyle w:val="Hyperlink"/>
              </w:rPr>
              <w:t>Definitions – emergency service worker</w:t>
            </w:r>
            <w:r w:rsidR="007F15E7">
              <w:rPr>
                <w:webHidden/>
              </w:rPr>
              <w:tab/>
            </w:r>
            <w:r w:rsidR="007F15E7">
              <w:rPr>
                <w:webHidden/>
              </w:rPr>
              <w:fldChar w:fldCharType="begin"/>
            </w:r>
            <w:r w:rsidR="007F15E7">
              <w:rPr>
                <w:webHidden/>
              </w:rPr>
              <w:instrText xml:space="preserve"> PAGEREF _Toc17104608 \h </w:instrText>
            </w:r>
            <w:r w:rsidR="007F15E7">
              <w:rPr>
                <w:webHidden/>
              </w:rPr>
            </w:r>
            <w:r w:rsidR="007F15E7">
              <w:rPr>
                <w:webHidden/>
              </w:rPr>
              <w:fldChar w:fldCharType="separate"/>
            </w:r>
            <w:r w:rsidR="007F15E7">
              <w:rPr>
                <w:webHidden/>
              </w:rPr>
              <w:t>11</w:t>
            </w:r>
            <w:r w:rsidR="007F15E7">
              <w:rPr>
                <w:webHidden/>
              </w:rPr>
              <w:fldChar w:fldCharType="end"/>
            </w:r>
          </w:hyperlink>
        </w:p>
        <w:p w14:paraId="49A5FB75" w14:textId="57C39826" w:rsidR="007F15E7" w:rsidRDefault="00461F99">
          <w:pPr>
            <w:pStyle w:val="TOC2"/>
            <w:tabs>
              <w:tab w:val="left" w:pos="1701"/>
            </w:tabs>
            <w:rPr>
              <w:rFonts w:eastAsiaTheme="minorEastAsia"/>
              <w:sz w:val="22"/>
              <w:szCs w:val="22"/>
              <w:lang w:eastAsia="en-AU"/>
            </w:rPr>
          </w:pPr>
          <w:hyperlink w:anchor="_Toc17104609" w:history="1">
            <w:r w:rsidR="007F15E7" w:rsidRPr="008029B9">
              <w:rPr>
                <w:rStyle w:val="Hyperlink"/>
              </w:rPr>
              <w:t>9.</w:t>
            </w:r>
            <w:r w:rsidR="007F15E7">
              <w:rPr>
                <w:rFonts w:eastAsiaTheme="minorEastAsia"/>
                <w:sz w:val="22"/>
                <w:szCs w:val="22"/>
                <w:lang w:eastAsia="en-AU"/>
              </w:rPr>
              <w:tab/>
            </w:r>
            <w:r w:rsidR="007F15E7" w:rsidRPr="008029B9">
              <w:rPr>
                <w:rStyle w:val="Hyperlink"/>
              </w:rPr>
              <w:t>Definitions – excavation</w:t>
            </w:r>
            <w:r w:rsidR="007F15E7">
              <w:rPr>
                <w:webHidden/>
              </w:rPr>
              <w:tab/>
            </w:r>
            <w:r w:rsidR="007F15E7">
              <w:rPr>
                <w:webHidden/>
              </w:rPr>
              <w:fldChar w:fldCharType="begin"/>
            </w:r>
            <w:r w:rsidR="007F15E7">
              <w:rPr>
                <w:webHidden/>
              </w:rPr>
              <w:instrText xml:space="preserve"> PAGEREF _Toc17104609 \h </w:instrText>
            </w:r>
            <w:r w:rsidR="007F15E7">
              <w:rPr>
                <w:webHidden/>
              </w:rPr>
            </w:r>
            <w:r w:rsidR="007F15E7">
              <w:rPr>
                <w:webHidden/>
              </w:rPr>
              <w:fldChar w:fldCharType="separate"/>
            </w:r>
            <w:r w:rsidR="007F15E7">
              <w:rPr>
                <w:webHidden/>
              </w:rPr>
              <w:t>12</w:t>
            </w:r>
            <w:r w:rsidR="007F15E7">
              <w:rPr>
                <w:webHidden/>
              </w:rPr>
              <w:fldChar w:fldCharType="end"/>
            </w:r>
          </w:hyperlink>
        </w:p>
        <w:p w14:paraId="7FAC9A68" w14:textId="296180DD" w:rsidR="007F15E7" w:rsidRDefault="00461F99">
          <w:pPr>
            <w:pStyle w:val="TOC2"/>
            <w:tabs>
              <w:tab w:val="left" w:pos="1701"/>
            </w:tabs>
            <w:rPr>
              <w:rFonts w:eastAsiaTheme="minorEastAsia"/>
              <w:sz w:val="22"/>
              <w:szCs w:val="22"/>
              <w:lang w:eastAsia="en-AU"/>
            </w:rPr>
          </w:pPr>
          <w:hyperlink w:anchor="_Toc17104610" w:history="1">
            <w:r w:rsidR="007F15E7" w:rsidRPr="008029B9">
              <w:rPr>
                <w:rStyle w:val="Hyperlink"/>
              </w:rPr>
              <w:t>10.</w:t>
            </w:r>
            <w:r w:rsidR="007F15E7">
              <w:rPr>
                <w:rFonts w:eastAsiaTheme="minorEastAsia"/>
                <w:sz w:val="22"/>
                <w:szCs w:val="22"/>
                <w:lang w:eastAsia="en-AU"/>
              </w:rPr>
              <w:tab/>
            </w:r>
            <w:r w:rsidR="007F15E7" w:rsidRPr="008029B9">
              <w:rPr>
                <w:rStyle w:val="Hyperlink"/>
              </w:rPr>
              <w:t>Definitions – primary emergency service organisation</w:t>
            </w:r>
            <w:r w:rsidR="007F15E7">
              <w:rPr>
                <w:webHidden/>
              </w:rPr>
              <w:tab/>
            </w:r>
            <w:r w:rsidR="007F15E7">
              <w:rPr>
                <w:webHidden/>
              </w:rPr>
              <w:fldChar w:fldCharType="begin"/>
            </w:r>
            <w:r w:rsidR="007F15E7">
              <w:rPr>
                <w:webHidden/>
              </w:rPr>
              <w:instrText xml:space="preserve"> PAGEREF _Toc17104610 \h </w:instrText>
            </w:r>
            <w:r w:rsidR="007F15E7">
              <w:rPr>
                <w:webHidden/>
              </w:rPr>
            </w:r>
            <w:r w:rsidR="007F15E7">
              <w:rPr>
                <w:webHidden/>
              </w:rPr>
              <w:fldChar w:fldCharType="separate"/>
            </w:r>
            <w:r w:rsidR="007F15E7">
              <w:rPr>
                <w:webHidden/>
              </w:rPr>
              <w:t>12</w:t>
            </w:r>
            <w:r w:rsidR="007F15E7">
              <w:rPr>
                <w:webHidden/>
              </w:rPr>
              <w:fldChar w:fldCharType="end"/>
            </w:r>
          </w:hyperlink>
        </w:p>
        <w:p w14:paraId="1BAC7EFF" w14:textId="721488A0" w:rsidR="007F15E7" w:rsidRDefault="00461F99">
          <w:pPr>
            <w:pStyle w:val="TOC2"/>
            <w:tabs>
              <w:tab w:val="left" w:pos="1701"/>
            </w:tabs>
            <w:rPr>
              <w:rFonts w:eastAsiaTheme="minorEastAsia"/>
              <w:sz w:val="22"/>
              <w:szCs w:val="22"/>
              <w:lang w:eastAsia="en-AU"/>
            </w:rPr>
          </w:pPr>
          <w:hyperlink w:anchor="_Toc17104611" w:history="1">
            <w:r w:rsidR="007F15E7" w:rsidRPr="008029B9">
              <w:rPr>
                <w:rStyle w:val="Hyperlink"/>
              </w:rPr>
              <w:t>11.</w:t>
            </w:r>
            <w:r w:rsidR="007F15E7">
              <w:rPr>
                <w:rFonts w:eastAsiaTheme="minorEastAsia"/>
                <w:sz w:val="22"/>
                <w:szCs w:val="22"/>
                <w:lang w:eastAsia="en-AU"/>
              </w:rPr>
              <w:tab/>
            </w:r>
            <w:r w:rsidR="007F15E7" w:rsidRPr="008029B9">
              <w:rPr>
                <w:rStyle w:val="Hyperlink"/>
              </w:rPr>
              <w:t>Definitions – rigging work</w:t>
            </w:r>
            <w:r w:rsidR="007F15E7">
              <w:rPr>
                <w:webHidden/>
              </w:rPr>
              <w:tab/>
            </w:r>
            <w:r w:rsidR="007F15E7">
              <w:rPr>
                <w:webHidden/>
              </w:rPr>
              <w:fldChar w:fldCharType="begin"/>
            </w:r>
            <w:r w:rsidR="007F15E7">
              <w:rPr>
                <w:webHidden/>
              </w:rPr>
              <w:instrText xml:space="preserve"> PAGEREF _Toc17104611 \h </w:instrText>
            </w:r>
            <w:r w:rsidR="007F15E7">
              <w:rPr>
                <w:webHidden/>
              </w:rPr>
            </w:r>
            <w:r w:rsidR="007F15E7">
              <w:rPr>
                <w:webHidden/>
              </w:rPr>
              <w:fldChar w:fldCharType="separate"/>
            </w:r>
            <w:r w:rsidR="007F15E7">
              <w:rPr>
                <w:webHidden/>
              </w:rPr>
              <w:t>12</w:t>
            </w:r>
            <w:r w:rsidR="007F15E7">
              <w:rPr>
                <w:webHidden/>
              </w:rPr>
              <w:fldChar w:fldCharType="end"/>
            </w:r>
          </w:hyperlink>
        </w:p>
        <w:p w14:paraId="4390AFD0" w14:textId="3E1DD1C9" w:rsidR="007F15E7" w:rsidRDefault="00461F99">
          <w:pPr>
            <w:pStyle w:val="TOC2"/>
            <w:tabs>
              <w:tab w:val="left" w:pos="1701"/>
            </w:tabs>
            <w:rPr>
              <w:rFonts w:eastAsiaTheme="minorEastAsia"/>
              <w:sz w:val="22"/>
              <w:szCs w:val="22"/>
              <w:lang w:eastAsia="en-AU"/>
            </w:rPr>
          </w:pPr>
          <w:hyperlink w:anchor="_Toc17104612" w:history="1">
            <w:r w:rsidR="007F15E7" w:rsidRPr="008029B9">
              <w:rPr>
                <w:rStyle w:val="Hyperlink"/>
              </w:rPr>
              <w:t>12.</w:t>
            </w:r>
            <w:r w:rsidR="007F15E7">
              <w:rPr>
                <w:rFonts w:eastAsiaTheme="minorEastAsia"/>
                <w:sz w:val="22"/>
                <w:szCs w:val="22"/>
                <w:lang w:eastAsia="en-AU"/>
              </w:rPr>
              <w:tab/>
            </w:r>
            <w:r w:rsidR="007F15E7" w:rsidRPr="008029B9">
              <w:rPr>
                <w:rStyle w:val="Hyperlink"/>
              </w:rPr>
              <w:t>Specified VET course - Asbestos</w:t>
            </w:r>
            <w:r w:rsidR="007F15E7">
              <w:rPr>
                <w:webHidden/>
              </w:rPr>
              <w:tab/>
            </w:r>
            <w:r w:rsidR="007F15E7">
              <w:rPr>
                <w:webHidden/>
              </w:rPr>
              <w:fldChar w:fldCharType="begin"/>
            </w:r>
            <w:r w:rsidR="007F15E7">
              <w:rPr>
                <w:webHidden/>
              </w:rPr>
              <w:instrText xml:space="preserve"> PAGEREF _Toc17104612 \h </w:instrText>
            </w:r>
            <w:r w:rsidR="007F15E7">
              <w:rPr>
                <w:webHidden/>
              </w:rPr>
            </w:r>
            <w:r w:rsidR="007F15E7">
              <w:rPr>
                <w:webHidden/>
              </w:rPr>
              <w:fldChar w:fldCharType="separate"/>
            </w:r>
            <w:r w:rsidR="007F15E7">
              <w:rPr>
                <w:webHidden/>
              </w:rPr>
              <w:t>13</w:t>
            </w:r>
            <w:r w:rsidR="007F15E7">
              <w:rPr>
                <w:webHidden/>
              </w:rPr>
              <w:fldChar w:fldCharType="end"/>
            </w:r>
          </w:hyperlink>
        </w:p>
        <w:p w14:paraId="20B59ABA" w14:textId="63765AE6" w:rsidR="007F15E7" w:rsidRDefault="00461F99">
          <w:pPr>
            <w:pStyle w:val="TOC2"/>
            <w:tabs>
              <w:tab w:val="left" w:pos="1701"/>
            </w:tabs>
            <w:rPr>
              <w:rFonts w:eastAsiaTheme="minorEastAsia"/>
              <w:sz w:val="22"/>
              <w:szCs w:val="22"/>
              <w:lang w:eastAsia="en-AU"/>
            </w:rPr>
          </w:pPr>
          <w:hyperlink w:anchor="_Toc17104613" w:history="1">
            <w:r w:rsidR="007F15E7" w:rsidRPr="008029B9">
              <w:rPr>
                <w:rStyle w:val="Hyperlink"/>
              </w:rPr>
              <w:t>13.</w:t>
            </w:r>
            <w:r w:rsidR="007F15E7">
              <w:rPr>
                <w:rFonts w:eastAsiaTheme="minorEastAsia"/>
                <w:sz w:val="22"/>
                <w:szCs w:val="22"/>
                <w:lang w:eastAsia="en-AU"/>
              </w:rPr>
              <w:tab/>
            </w:r>
            <w:r w:rsidR="007F15E7" w:rsidRPr="008029B9">
              <w:rPr>
                <w:rStyle w:val="Hyperlink"/>
              </w:rPr>
              <w:t>Meaning of person conducting a business or undertaking – person excluded</w:t>
            </w:r>
            <w:r w:rsidR="007F15E7">
              <w:rPr>
                <w:webHidden/>
              </w:rPr>
              <w:tab/>
            </w:r>
            <w:r w:rsidR="007F15E7">
              <w:rPr>
                <w:webHidden/>
              </w:rPr>
              <w:fldChar w:fldCharType="begin"/>
            </w:r>
            <w:r w:rsidR="007F15E7">
              <w:rPr>
                <w:webHidden/>
              </w:rPr>
              <w:instrText xml:space="preserve"> PAGEREF _Toc17104613 \h </w:instrText>
            </w:r>
            <w:r w:rsidR="007F15E7">
              <w:rPr>
                <w:webHidden/>
              </w:rPr>
            </w:r>
            <w:r w:rsidR="007F15E7">
              <w:rPr>
                <w:webHidden/>
              </w:rPr>
              <w:fldChar w:fldCharType="separate"/>
            </w:r>
            <w:r w:rsidR="007F15E7">
              <w:rPr>
                <w:webHidden/>
              </w:rPr>
              <w:t>13</w:t>
            </w:r>
            <w:r w:rsidR="007F15E7">
              <w:rPr>
                <w:webHidden/>
              </w:rPr>
              <w:fldChar w:fldCharType="end"/>
            </w:r>
          </w:hyperlink>
        </w:p>
        <w:p w14:paraId="71FD9514" w14:textId="4C40F576" w:rsidR="007F15E7" w:rsidRDefault="00461F99">
          <w:pPr>
            <w:pStyle w:val="TOC1"/>
            <w:rPr>
              <w:rFonts w:eastAsiaTheme="minorEastAsia"/>
              <w:szCs w:val="22"/>
              <w:lang w:eastAsia="en-AU"/>
            </w:rPr>
          </w:pPr>
          <w:hyperlink w:anchor="_Toc17104614" w:history="1">
            <w:r w:rsidR="007F15E7" w:rsidRPr="008029B9">
              <w:rPr>
                <w:rStyle w:val="Hyperlink"/>
              </w:rPr>
              <w:t>Chapter Two – Representation and Participation</w:t>
            </w:r>
            <w:r w:rsidR="007F15E7">
              <w:rPr>
                <w:webHidden/>
              </w:rPr>
              <w:tab/>
            </w:r>
            <w:r w:rsidR="007F15E7">
              <w:rPr>
                <w:webHidden/>
              </w:rPr>
              <w:fldChar w:fldCharType="begin"/>
            </w:r>
            <w:r w:rsidR="007F15E7">
              <w:rPr>
                <w:webHidden/>
              </w:rPr>
              <w:instrText xml:space="preserve"> PAGEREF _Toc17104614 \h </w:instrText>
            </w:r>
            <w:r w:rsidR="007F15E7">
              <w:rPr>
                <w:webHidden/>
              </w:rPr>
            </w:r>
            <w:r w:rsidR="007F15E7">
              <w:rPr>
                <w:webHidden/>
              </w:rPr>
              <w:fldChar w:fldCharType="separate"/>
            </w:r>
            <w:r w:rsidR="007F15E7">
              <w:rPr>
                <w:webHidden/>
              </w:rPr>
              <w:t>13</w:t>
            </w:r>
            <w:r w:rsidR="007F15E7">
              <w:rPr>
                <w:webHidden/>
              </w:rPr>
              <w:fldChar w:fldCharType="end"/>
            </w:r>
          </w:hyperlink>
        </w:p>
        <w:p w14:paraId="284D135B" w14:textId="5BFC352E" w:rsidR="007F15E7" w:rsidRDefault="00461F99">
          <w:pPr>
            <w:pStyle w:val="TOC2"/>
            <w:tabs>
              <w:tab w:val="left" w:pos="1701"/>
            </w:tabs>
            <w:rPr>
              <w:rFonts w:eastAsiaTheme="minorEastAsia"/>
              <w:sz w:val="22"/>
              <w:szCs w:val="22"/>
              <w:lang w:eastAsia="en-AU"/>
            </w:rPr>
          </w:pPr>
          <w:hyperlink w:anchor="_Toc17104615" w:history="1">
            <w:r w:rsidR="007F15E7" w:rsidRPr="008029B9">
              <w:rPr>
                <w:rStyle w:val="Hyperlink"/>
              </w:rPr>
              <w:t>14.</w:t>
            </w:r>
            <w:r w:rsidR="007F15E7">
              <w:rPr>
                <w:rFonts w:eastAsiaTheme="minorEastAsia"/>
                <w:sz w:val="22"/>
                <w:szCs w:val="22"/>
                <w:lang w:eastAsia="en-AU"/>
              </w:rPr>
              <w:tab/>
            </w:r>
            <w:r w:rsidR="007F15E7" w:rsidRPr="008029B9">
              <w:rPr>
                <w:rStyle w:val="Hyperlink"/>
              </w:rPr>
              <w:t>Work Groups</w:t>
            </w:r>
            <w:r w:rsidR="007F15E7">
              <w:rPr>
                <w:webHidden/>
              </w:rPr>
              <w:tab/>
            </w:r>
            <w:r w:rsidR="007F15E7">
              <w:rPr>
                <w:webHidden/>
              </w:rPr>
              <w:fldChar w:fldCharType="begin"/>
            </w:r>
            <w:r w:rsidR="007F15E7">
              <w:rPr>
                <w:webHidden/>
              </w:rPr>
              <w:instrText xml:space="preserve"> PAGEREF _Toc17104615 \h </w:instrText>
            </w:r>
            <w:r w:rsidR="007F15E7">
              <w:rPr>
                <w:webHidden/>
              </w:rPr>
            </w:r>
            <w:r w:rsidR="007F15E7">
              <w:rPr>
                <w:webHidden/>
              </w:rPr>
              <w:fldChar w:fldCharType="separate"/>
            </w:r>
            <w:r w:rsidR="007F15E7">
              <w:rPr>
                <w:webHidden/>
              </w:rPr>
              <w:t>13</w:t>
            </w:r>
            <w:r w:rsidR="007F15E7">
              <w:rPr>
                <w:webHidden/>
              </w:rPr>
              <w:fldChar w:fldCharType="end"/>
            </w:r>
          </w:hyperlink>
        </w:p>
        <w:p w14:paraId="2FEC63E6" w14:textId="37D50671" w:rsidR="007F15E7" w:rsidRDefault="00461F99">
          <w:pPr>
            <w:pStyle w:val="TOC2"/>
            <w:tabs>
              <w:tab w:val="left" w:pos="1701"/>
            </w:tabs>
            <w:rPr>
              <w:rFonts w:eastAsiaTheme="minorEastAsia"/>
              <w:sz w:val="22"/>
              <w:szCs w:val="22"/>
              <w:lang w:eastAsia="en-AU"/>
            </w:rPr>
          </w:pPr>
          <w:hyperlink w:anchor="_Toc17104616" w:history="1">
            <w:r w:rsidR="007F15E7" w:rsidRPr="008029B9">
              <w:rPr>
                <w:rStyle w:val="Hyperlink"/>
              </w:rPr>
              <w:t>15.</w:t>
            </w:r>
            <w:r w:rsidR="007F15E7">
              <w:rPr>
                <w:rFonts w:eastAsiaTheme="minorEastAsia"/>
                <w:sz w:val="22"/>
                <w:szCs w:val="22"/>
                <w:lang w:eastAsia="en-AU"/>
              </w:rPr>
              <w:tab/>
            </w:r>
            <w:r w:rsidR="007F15E7" w:rsidRPr="008029B9">
              <w:rPr>
                <w:rStyle w:val="Hyperlink"/>
              </w:rPr>
              <w:t>Health and Safety Representatives</w:t>
            </w:r>
            <w:r w:rsidR="007F15E7">
              <w:rPr>
                <w:webHidden/>
              </w:rPr>
              <w:tab/>
            </w:r>
            <w:r w:rsidR="007F15E7">
              <w:rPr>
                <w:webHidden/>
              </w:rPr>
              <w:fldChar w:fldCharType="begin"/>
            </w:r>
            <w:r w:rsidR="007F15E7">
              <w:rPr>
                <w:webHidden/>
              </w:rPr>
              <w:instrText xml:space="preserve"> PAGEREF _Toc17104616 \h </w:instrText>
            </w:r>
            <w:r w:rsidR="007F15E7">
              <w:rPr>
                <w:webHidden/>
              </w:rPr>
            </w:r>
            <w:r w:rsidR="007F15E7">
              <w:rPr>
                <w:webHidden/>
              </w:rPr>
              <w:fldChar w:fldCharType="separate"/>
            </w:r>
            <w:r w:rsidR="007F15E7">
              <w:rPr>
                <w:webHidden/>
              </w:rPr>
              <w:t>14</w:t>
            </w:r>
            <w:r w:rsidR="007F15E7">
              <w:rPr>
                <w:webHidden/>
              </w:rPr>
              <w:fldChar w:fldCharType="end"/>
            </w:r>
          </w:hyperlink>
        </w:p>
        <w:p w14:paraId="1AC1403B" w14:textId="35E3E1E4" w:rsidR="007F15E7" w:rsidRDefault="00461F99">
          <w:pPr>
            <w:pStyle w:val="TOC1"/>
            <w:rPr>
              <w:rFonts w:eastAsiaTheme="minorEastAsia"/>
              <w:szCs w:val="22"/>
              <w:lang w:eastAsia="en-AU"/>
            </w:rPr>
          </w:pPr>
          <w:hyperlink w:anchor="_Toc17104617" w:history="1">
            <w:r w:rsidR="007F15E7" w:rsidRPr="008029B9">
              <w:rPr>
                <w:rStyle w:val="Hyperlink"/>
              </w:rPr>
              <w:t>16.</w:t>
            </w:r>
            <w:r w:rsidR="007F15E7">
              <w:rPr>
                <w:rFonts w:eastAsiaTheme="minorEastAsia"/>
                <w:szCs w:val="22"/>
                <w:lang w:eastAsia="en-AU"/>
              </w:rPr>
              <w:tab/>
            </w:r>
            <w:r w:rsidR="007F15E7" w:rsidRPr="008029B9">
              <w:rPr>
                <w:rStyle w:val="Hyperlink"/>
              </w:rPr>
              <w:t>Health and Safety Representative training</w:t>
            </w:r>
            <w:r w:rsidR="007F15E7">
              <w:rPr>
                <w:webHidden/>
              </w:rPr>
              <w:tab/>
            </w:r>
            <w:r w:rsidR="007F15E7">
              <w:rPr>
                <w:webHidden/>
              </w:rPr>
              <w:fldChar w:fldCharType="begin"/>
            </w:r>
            <w:r w:rsidR="007F15E7">
              <w:rPr>
                <w:webHidden/>
              </w:rPr>
              <w:instrText xml:space="preserve"> PAGEREF _Toc17104617 \h </w:instrText>
            </w:r>
            <w:r w:rsidR="007F15E7">
              <w:rPr>
                <w:webHidden/>
              </w:rPr>
            </w:r>
            <w:r w:rsidR="007F15E7">
              <w:rPr>
                <w:webHidden/>
              </w:rPr>
              <w:fldChar w:fldCharType="separate"/>
            </w:r>
            <w:r w:rsidR="007F15E7">
              <w:rPr>
                <w:webHidden/>
              </w:rPr>
              <w:t>14</w:t>
            </w:r>
            <w:r w:rsidR="007F15E7">
              <w:rPr>
                <w:webHidden/>
              </w:rPr>
              <w:fldChar w:fldCharType="end"/>
            </w:r>
          </w:hyperlink>
        </w:p>
        <w:p w14:paraId="02C9CA77" w14:textId="3D6A4728" w:rsidR="007F15E7" w:rsidRDefault="00461F99">
          <w:pPr>
            <w:pStyle w:val="TOC2"/>
            <w:tabs>
              <w:tab w:val="left" w:pos="1701"/>
            </w:tabs>
            <w:rPr>
              <w:rFonts w:eastAsiaTheme="minorEastAsia"/>
              <w:sz w:val="22"/>
              <w:szCs w:val="22"/>
              <w:lang w:eastAsia="en-AU"/>
            </w:rPr>
          </w:pPr>
          <w:hyperlink w:anchor="_Toc17104618" w:history="1">
            <w:r w:rsidR="007F15E7" w:rsidRPr="008029B9">
              <w:rPr>
                <w:rStyle w:val="Hyperlink"/>
                <w:lang w:eastAsia="en-AU"/>
              </w:rPr>
              <w:t>17.</w:t>
            </w:r>
            <w:r w:rsidR="007F15E7">
              <w:rPr>
                <w:rFonts w:eastAsiaTheme="minorEastAsia"/>
                <w:sz w:val="22"/>
                <w:szCs w:val="22"/>
                <w:lang w:eastAsia="en-AU"/>
              </w:rPr>
              <w:tab/>
            </w:r>
            <w:r w:rsidR="007F15E7" w:rsidRPr="008029B9">
              <w:rPr>
                <w:rStyle w:val="Hyperlink"/>
                <w:lang w:eastAsia="en-AU"/>
              </w:rPr>
              <w:t>Review of control measures and asbestos management control plan</w:t>
            </w:r>
            <w:r w:rsidR="007F15E7">
              <w:rPr>
                <w:webHidden/>
              </w:rPr>
              <w:tab/>
            </w:r>
            <w:r w:rsidR="007F15E7">
              <w:rPr>
                <w:webHidden/>
              </w:rPr>
              <w:fldChar w:fldCharType="begin"/>
            </w:r>
            <w:r w:rsidR="007F15E7">
              <w:rPr>
                <w:webHidden/>
              </w:rPr>
              <w:instrText xml:space="preserve"> PAGEREF _Toc17104618 \h </w:instrText>
            </w:r>
            <w:r w:rsidR="007F15E7">
              <w:rPr>
                <w:webHidden/>
              </w:rPr>
            </w:r>
            <w:r w:rsidR="007F15E7">
              <w:rPr>
                <w:webHidden/>
              </w:rPr>
              <w:fldChar w:fldCharType="separate"/>
            </w:r>
            <w:r w:rsidR="007F15E7">
              <w:rPr>
                <w:webHidden/>
              </w:rPr>
              <w:t>14</w:t>
            </w:r>
            <w:r w:rsidR="007F15E7">
              <w:rPr>
                <w:webHidden/>
              </w:rPr>
              <w:fldChar w:fldCharType="end"/>
            </w:r>
          </w:hyperlink>
        </w:p>
        <w:p w14:paraId="1268DF18" w14:textId="33810928" w:rsidR="007F15E7" w:rsidRDefault="00461F99">
          <w:pPr>
            <w:pStyle w:val="TOC2"/>
            <w:tabs>
              <w:tab w:val="left" w:pos="1701"/>
            </w:tabs>
            <w:rPr>
              <w:rFonts w:eastAsiaTheme="minorEastAsia"/>
              <w:sz w:val="22"/>
              <w:szCs w:val="22"/>
              <w:lang w:eastAsia="en-AU"/>
            </w:rPr>
          </w:pPr>
          <w:hyperlink w:anchor="_Toc17104619" w:history="1">
            <w:r w:rsidR="007F15E7" w:rsidRPr="008029B9">
              <w:rPr>
                <w:rStyle w:val="Hyperlink"/>
              </w:rPr>
              <w:t>18.</w:t>
            </w:r>
            <w:r w:rsidR="007F15E7">
              <w:rPr>
                <w:rFonts w:eastAsiaTheme="minorEastAsia"/>
                <w:sz w:val="22"/>
                <w:szCs w:val="22"/>
                <w:lang w:eastAsia="en-AU"/>
              </w:rPr>
              <w:tab/>
            </w:r>
            <w:r w:rsidR="007F15E7" w:rsidRPr="008029B9">
              <w:rPr>
                <w:rStyle w:val="Hyperlink"/>
              </w:rPr>
              <w:t>Personal Protective clothing and equipment (PPE)</w:t>
            </w:r>
            <w:r w:rsidR="007F15E7">
              <w:rPr>
                <w:webHidden/>
              </w:rPr>
              <w:tab/>
            </w:r>
            <w:r w:rsidR="007F15E7">
              <w:rPr>
                <w:webHidden/>
              </w:rPr>
              <w:fldChar w:fldCharType="begin"/>
            </w:r>
            <w:r w:rsidR="007F15E7">
              <w:rPr>
                <w:webHidden/>
              </w:rPr>
              <w:instrText xml:space="preserve"> PAGEREF _Toc17104619 \h </w:instrText>
            </w:r>
            <w:r w:rsidR="007F15E7">
              <w:rPr>
                <w:webHidden/>
              </w:rPr>
            </w:r>
            <w:r w:rsidR="007F15E7">
              <w:rPr>
                <w:webHidden/>
              </w:rPr>
              <w:fldChar w:fldCharType="separate"/>
            </w:r>
            <w:r w:rsidR="007F15E7">
              <w:rPr>
                <w:webHidden/>
              </w:rPr>
              <w:t>14</w:t>
            </w:r>
            <w:r w:rsidR="007F15E7">
              <w:rPr>
                <w:webHidden/>
              </w:rPr>
              <w:fldChar w:fldCharType="end"/>
            </w:r>
          </w:hyperlink>
        </w:p>
        <w:p w14:paraId="5C436779" w14:textId="70250CC0" w:rsidR="007F15E7" w:rsidRDefault="00461F99">
          <w:pPr>
            <w:pStyle w:val="TOC1"/>
            <w:rPr>
              <w:rFonts w:eastAsiaTheme="minorEastAsia"/>
              <w:szCs w:val="22"/>
              <w:lang w:eastAsia="en-AU"/>
            </w:rPr>
          </w:pPr>
          <w:hyperlink w:anchor="_Toc17104620" w:history="1">
            <w:r w:rsidR="007F15E7" w:rsidRPr="008029B9">
              <w:rPr>
                <w:rStyle w:val="Hyperlink"/>
              </w:rPr>
              <w:t>Chapter Three – General Risk and Workplace Management</w:t>
            </w:r>
            <w:r w:rsidR="007F15E7">
              <w:rPr>
                <w:webHidden/>
              </w:rPr>
              <w:tab/>
            </w:r>
            <w:r w:rsidR="007F15E7">
              <w:rPr>
                <w:webHidden/>
              </w:rPr>
              <w:fldChar w:fldCharType="begin"/>
            </w:r>
            <w:r w:rsidR="007F15E7">
              <w:rPr>
                <w:webHidden/>
              </w:rPr>
              <w:instrText xml:space="preserve"> PAGEREF _Toc17104620 \h </w:instrText>
            </w:r>
            <w:r w:rsidR="007F15E7">
              <w:rPr>
                <w:webHidden/>
              </w:rPr>
            </w:r>
            <w:r w:rsidR="007F15E7">
              <w:rPr>
                <w:webHidden/>
              </w:rPr>
              <w:fldChar w:fldCharType="separate"/>
            </w:r>
            <w:r w:rsidR="007F15E7">
              <w:rPr>
                <w:webHidden/>
              </w:rPr>
              <w:t>14</w:t>
            </w:r>
            <w:r w:rsidR="007F15E7">
              <w:rPr>
                <w:webHidden/>
              </w:rPr>
              <w:fldChar w:fldCharType="end"/>
            </w:r>
          </w:hyperlink>
        </w:p>
        <w:p w14:paraId="20E56FF1" w14:textId="4BB5EC05" w:rsidR="007F15E7" w:rsidRDefault="00461F99">
          <w:pPr>
            <w:pStyle w:val="TOC2"/>
            <w:tabs>
              <w:tab w:val="left" w:pos="1701"/>
            </w:tabs>
            <w:rPr>
              <w:rFonts w:eastAsiaTheme="minorEastAsia"/>
              <w:sz w:val="22"/>
              <w:szCs w:val="22"/>
              <w:lang w:eastAsia="en-AU"/>
            </w:rPr>
          </w:pPr>
          <w:hyperlink w:anchor="_Toc17104621" w:history="1">
            <w:r w:rsidR="007F15E7" w:rsidRPr="008029B9">
              <w:rPr>
                <w:rStyle w:val="Hyperlink"/>
                <w:lang w:eastAsia="en-AU"/>
              </w:rPr>
              <w:t>19.</w:t>
            </w:r>
            <w:r w:rsidR="007F15E7">
              <w:rPr>
                <w:rFonts w:eastAsiaTheme="minorEastAsia"/>
                <w:sz w:val="22"/>
                <w:szCs w:val="22"/>
                <w:lang w:eastAsia="en-AU"/>
              </w:rPr>
              <w:tab/>
            </w:r>
            <w:r w:rsidR="007F15E7" w:rsidRPr="008029B9">
              <w:rPr>
                <w:rStyle w:val="Hyperlink"/>
              </w:rPr>
              <w:t>Flammable and combustible material not to be accumulated</w:t>
            </w:r>
            <w:r w:rsidR="007F15E7">
              <w:rPr>
                <w:webHidden/>
              </w:rPr>
              <w:tab/>
            </w:r>
            <w:r w:rsidR="007F15E7">
              <w:rPr>
                <w:webHidden/>
              </w:rPr>
              <w:fldChar w:fldCharType="begin"/>
            </w:r>
            <w:r w:rsidR="007F15E7">
              <w:rPr>
                <w:webHidden/>
              </w:rPr>
              <w:instrText xml:space="preserve"> PAGEREF _Toc17104621 \h </w:instrText>
            </w:r>
            <w:r w:rsidR="007F15E7">
              <w:rPr>
                <w:webHidden/>
              </w:rPr>
            </w:r>
            <w:r w:rsidR="007F15E7">
              <w:rPr>
                <w:webHidden/>
              </w:rPr>
              <w:fldChar w:fldCharType="separate"/>
            </w:r>
            <w:r w:rsidR="007F15E7">
              <w:rPr>
                <w:webHidden/>
              </w:rPr>
              <w:t>14</w:t>
            </w:r>
            <w:r w:rsidR="007F15E7">
              <w:rPr>
                <w:webHidden/>
              </w:rPr>
              <w:fldChar w:fldCharType="end"/>
            </w:r>
          </w:hyperlink>
        </w:p>
        <w:p w14:paraId="1D042202" w14:textId="116DA042" w:rsidR="007F15E7" w:rsidRDefault="00461F99">
          <w:pPr>
            <w:pStyle w:val="TOC1"/>
            <w:rPr>
              <w:rFonts w:eastAsiaTheme="minorEastAsia"/>
              <w:szCs w:val="22"/>
              <w:lang w:eastAsia="en-AU"/>
            </w:rPr>
          </w:pPr>
          <w:hyperlink w:anchor="_Toc17104622" w:history="1">
            <w:r w:rsidR="007F15E7" w:rsidRPr="008029B9">
              <w:rPr>
                <w:rStyle w:val="Hyperlink"/>
              </w:rPr>
              <w:t>Chapter Four – Hazardous Work</w:t>
            </w:r>
            <w:r w:rsidR="007F15E7">
              <w:rPr>
                <w:webHidden/>
              </w:rPr>
              <w:tab/>
            </w:r>
            <w:r w:rsidR="007F15E7">
              <w:rPr>
                <w:webHidden/>
              </w:rPr>
              <w:fldChar w:fldCharType="begin"/>
            </w:r>
            <w:r w:rsidR="007F15E7">
              <w:rPr>
                <w:webHidden/>
              </w:rPr>
              <w:instrText xml:space="preserve"> PAGEREF _Toc17104622 \h </w:instrText>
            </w:r>
            <w:r w:rsidR="007F15E7">
              <w:rPr>
                <w:webHidden/>
              </w:rPr>
            </w:r>
            <w:r w:rsidR="007F15E7">
              <w:rPr>
                <w:webHidden/>
              </w:rPr>
              <w:fldChar w:fldCharType="separate"/>
            </w:r>
            <w:r w:rsidR="007F15E7">
              <w:rPr>
                <w:webHidden/>
              </w:rPr>
              <w:t>14</w:t>
            </w:r>
            <w:r w:rsidR="007F15E7">
              <w:rPr>
                <w:webHidden/>
              </w:rPr>
              <w:fldChar w:fldCharType="end"/>
            </w:r>
          </w:hyperlink>
        </w:p>
        <w:p w14:paraId="429955B5" w14:textId="33A43B48" w:rsidR="007F15E7" w:rsidRDefault="00461F99">
          <w:pPr>
            <w:pStyle w:val="TOC2"/>
            <w:tabs>
              <w:tab w:val="left" w:pos="1701"/>
            </w:tabs>
            <w:rPr>
              <w:rFonts w:eastAsiaTheme="minorEastAsia"/>
              <w:sz w:val="22"/>
              <w:szCs w:val="22"/>
              <w:lang w:eastAsia="en-AU"/>
            </w:rPr>
          </w:pPr>
          <w:hyperlink w:anchor="_Toc17104623" w:history="1">
            <w:r w:rsidR="007F15E7" w:rsidRPr="008029B9">
              <w:rPr>
                <w:rStyle w:val="Hyperlink"/>
              </w:rPr>
              <w:t>20.</w:t>
            </w:r>
            <w:r w:rsidR="007F15E7">
              <w:rPr>
                <w:rFonts w:eastAsiaTheme="minorEastAsia"/>
                <w:sz w:val="22"/>
                <w:szCs w:val="22"/>
                <w:lang w:eastAsia="en-AU"/>
              </w:rPr>
              <w:tab/>
            </w:r>
            <w:r w:rsidR="007F15E7" w:rsidRPr="008029B9">
              <w:rPr>
                <w:rStyle w:val="Hyperlink"/>
              </w:rPr>
              <w:t>Noise –exposure standard</w:t>
            </w:r>
            <w:r w:rsidR="007F15E7">
              <w:rPr>
                <w:webHidden/>
              </w:rPr>
              <w:tab/>
            </w:r>
            <w:r w:rsidR="007F15E7">
              <w:rPr>
                <w:webHidden/>
              </w:rPr>
              <w:fldChar w:fldCharType="begin"/>
            </w:r>
            <w:r w:rsidR="007F15E7">
              <w:rPr>
                <w:webHidden/>
              </w:rPr>
              <w:instrText xml:space="preserve"> PAGEREF _Toc17104623 \h </w:instrText>
            </w:r>
            <w:r w:rsidR="007F15E7">
              <w:rPr>
                <w:webHidden/>
              </w:rPr>
            </w:r>
            <w:r w:rsidR="007F15E7">
              <w:rPr>
                <w:webHidden/>
              </w:rPr>
              <w:fldChar w:fldCharType="separate"/>
            </w:r>
            <w:r w:rsidR="007F15E7">
              <w:rPr>
                <w:webHidden/>
              </w:rPr>
              <w:t>14</w:t>
            </w:r>
            <w:r w:rsidR="007F15E7">
              <w:rPr>
                <w:webHidden/>
              </w:rPr>
              <w:fldChar w:fldCharType="end"/>
            </w:r>
          </w:hyperlink>
        </w:p>
        <w:p w14:paraId="0F79D653" w14:textId="54AFAAB1" w:rsidR="007F15E7" w:rsidRDefault="00461F99">
          <w:pPr>
            <w:pStyle w:val="TOC2"/>
            <w:tabs>
              <w:tab w:val="left" w:pos="1701"/>
            </w:tabs>
            <w:rPr>
              <w:rFonts w:eastAsiaTheme="minorEastAsia"/>
              <w:sz w:val="22"/>
              <w:szCs w:val="22"/>
              <w:lang w:eastAsia="en-AU"/>
            </w:rPr>
          </w:pPr>
          <w:hyperlink w:anchor="_Toc17104624" w:history="1">
            <w:r w:rsidR="007F15E7" w:rsidRPr="008029B9">
              <w:rPr>
                <w:rStyle w:val="Hyperlink"/>
              </w:rPr>
              <w:t>21.</w:t>
            </w:r>
            <w:r w:rsidR="007F15E7">
              <w:rPr>
                <w:rFonts w:eastAsiaTheme="minorEastAsia"/>
                <w:sz w:val="22"/>
                <w:szCs w:val="22"/>
                <w:lang w:eastAsia="en-AU"/>
              </w:rPr>
              <w:tab/>
            </w:r>
            <w:r w:rsidR="007F15E7" w:rsidRPr="008029B9">
              <w:rPr>
                <w:rStyle w:val="Hyperlink"/>
              </w:rPr>
              <w:t>Noise – audiometric testing</w:t>
            </w:r>
            <w:r w:rsidR="007F15E7">
              <w:rPr>
                <w:webHidden/>
              </w:rPr>
              <w:tab/>
            </w:r>
            <w:r w:rsidR="007F15E7">
              <w:rPr>
                <w:webHidden/>
              </w:rPr>
              <w:fldChar w:fldCharType="begin"/>
            </w:r>
            <w:r w:rsidR="007F15E7">
              <w:rPr>
                <w:webHidden/>
              </w:rPr>
              <w:instrText xml:space="preserve"> PAGEREF _Toc17104624 \h </w:instrText>
            </w:r>
            <w:r w:rsidR="007F15E7">
              <w:rPr>
                <w:webHidden/>
              </w:rPr>
            </w:r>
            <w:r w:rsidR="007F15E7">
              <w:rPr>
                <w:webHidden/>
              </w:rPr>
              <w:fldChar w:fldCharType="separate"/>
            </w:r>
            <w:r w:rsidR="007F15E7">
              <w:rPr>
                <w:webHidden/>
              </w:rPr>
              <w:t>15</w:t>
            </w:r>
            <w:r w:rsidR="007F15E7">
              <w:rPr>
                <w:webHidden/>
              </w:rPr>
              <w:fldChar w:fldCharType="end"/>
            </w:r>
          </w:hyperlink>
        </w:p>
        <w:p w14:paraId="501FF243" w14:textId="043BE45C" w:rsidR="007F15E7" w:rsidRDefault="00461F99">
          <w:pPr>
            <w:pStyle w:val="TOC2"/>
            <w:tabs>
              <w:tab w:val="left" w:pos="1701"/>
            </w:tabs>
            <w:rPr>
              <w:rFonts w:eastAsiaTheme="minorEastAsia"/>
              <w:sz w:val="22"/>
              <w:szCs w:val="22"/>
              <w:lang w:eastAsia="en-AU"/>
            </w:rPr>
          </w:pPr>
          <w:hyperlink w:anchor="_Toc17104625" w:history="1">
            <w:r w:rsidR="007F15E7" w:rsidRPr="008029B9">
              <w:rPr>
                <w:rStyle w:val="Hyperlink"/>
                <w:lang w:eastAsia="en-AU"/>
              </w:rPr>
              <w:t>22.</w:t>
            </w:r>
            <w:r w:rsidR="007F15E7">
              <w:rPr>
                <w:rFonts w:eastAsiaTheme="minorEastAsia"/>
                <w:sz w:val="22"/>
                <w:szCs w:val="22"/>
                <w:lang w:eastAsia="en-AU"/>
              </w:rPr>
              <w:tab/>
            </w:r>
            <w:r w:rsidR="007F15E7" w:rsidRPr="008029B9">
              <w:rPr>
                <w:rStyle w:val="Hyperlink"/>
                <w:lang w:eastAsia="en-AU"/>
              </w:rPr>
              <w:t>Management of risk of fall</w:t>
            </w:r>
            <w:r w:rsidR="007F15E7">
              <w:rPr>
                <w:webHidden/>
              </w:rPr>
              <w:tab/>
            </w:r>
            <w:r w:rsidR="007F15E7">
              <w:rPr>
                <w:webHidden/>
              </w:rPr>
              <w:fldChar w:fldCharType="begin"/>
            </w:r>
            <w:r w:rsidR="007F15E7">
              <w:rPr>
                <w:webHidden/>
              </w:rPr>
              <w:instrText xml:space="preserve"> PAGEREF _Toc17104625 \h </w:instrText>
            </w:r>
            <w:r w:rsidR="007F15E7">
              <w:rPr>
                <w:webHidden/>
              </w:rPr>
            </w:r>
            <w:r w:rsidR="007F15E7">
              <w:rPr>
                <w:webHidden/>
              </w:rPr>
              <w:fldChar w:fldCharType="separate"/>
            </w:r>
            <w:r w:rsidR="007F15E7">
              <w:rPr>
                <w:webHidden/>
              </w:rPr>
              <w:t>15</w:t>
            </w:r>
            <w:r w:rsidR="007F15E7">
              <w:rPr>
                <w:webHidden/>
              </w:rPr>
              <w:fldChar w:fldCharType="end"/>
            </w:r>
          </w:hyperlink>
        </w:p>
        <w:p w14:paraId="749DD272" w14:textId="0A4D7B86" w:rsidR="007F15E7" w:rsidRDefault="00461F99">
          <w:pPr>
            <w:pStyle w:val="TOC2"/>
            <w:tabs>
              <w:tab w:val="left" w:pos="1701"/>
            </w:tabs>
            <w:rPr>
              <w:rFonts w:eastAsiaTheme="minorEastAsia"/>
              <w:sz w:val="22"/>
              <w:szCs w:val="22"/>
              <w:lang w:eastAsia="en-AU"/>
            </w:rPr>
          </w:pPr>
          <w:hyperlink w:anchor="_Toc17104626" w:history="1">
            <w:r w:rsidR="007F15E7" w:rsidRPr="008029B9">
              <w:rPr>
                <w:rStyle w:val="Hyperlink"/>
              </w:rPr>
              <w:t>23.</w:t>
            </w:r>
            <w:r w:rsidR="007F15E7">
              <w:rPr>
                <w:rFonts w:eastAsiaTheme="minorEastAsia"/>
                <w:sz w:val="22"/>
                <w:szCs w:val="22"/>
                <w:lang w:eastAsia="en-AU"/>
              </w:rPr>
              <w:tab/>
            </w:r>
            <w:r w:rsidR="007F15E7" w:rsidRPr="008029B9">
              <w:rPr>
                <w:rStyle w:val="Hyperlink"/>
              </w:rPr>
              <w:t>Notice of assessment – time to apply, HRWL</w:t>
            </w:r>
            <w:r w:rsidR="007F15E7">
              <w:rPr>
                <w:webHidden/>
              </w:rPr>
              <w:tab/>
            </w:r>
            <w:r w:rsidR="007F15E7">
              <w:rPr>
                <w:webHidden/>
              </w:rPr>
              <w:fldChar w:fldCharType="begin"/>
            </w:r>
            <w:r w:rsidR="007F15E7">
              <w:rPr>
                <w:webHidden/>
              </w:rPr>
              <w:instrText xml:space="preserve"> PAGEREF _Toc17104626 \h </w:instrText>
            </w:r>
            <w:r w:rsidR="007F15E7">
              <w:rPr>
                <w:webHidden/>
              </w:rPr>
            </w:r>
            <w:r w:rsidR="007F15E7">
              <w:rPr>
                <w:webHidden/>
              </w:rPr>
              <w:fldChar w:fldCharType="separate"/>
            </w:r>
            <w:r w:rsidR="007F15E7">
              <w:rPr>
                <w:webHidden/>
              </w:rPr>
              <w:t>15</w:t>
            </w:r>
            <w:r w:rsidR="007F15E7">
              <w:rPr>
                <w:webHidden/>
              </w:rPr>
              <w:fldChar w:fldCharType="end"/>
            </w:r>
          </w:hyperlink>
        </w:p>
        <w:p w14:paraId="659F6502" w14:textId="6D445E3A" w:rsidR="007F15E7" w:rsidRDefault="00461F99">
          <w:pPr>
            <w:pStyle w:val="TOC2"/>
            <w:tabs>
              <w:tab w:val="left" w:pos="1701"/>
            </w:tabs>
            <w:rPr>
              <w:rFonts w:eastAsiaTheme="minorEastAsia"/>
              <w:sz w:val="22"/>
              <w:szCs w:val="22"/>
              <w:lang w:eastAsia="en-AU"/>
            </w:rPr>
          </w:pPr>
          <w:hyperlink w:anchor="_Toc17104627" w:history="1">
            <w:r w:rsidR="007F15E7" w:rsidRPr="008029B9">
              <w:rPr>
                <w:rStyle w:val="Hyperlink"/>
              </w:rPr>
              <w:t>24.</w:t>
            </w:r>
            <w:r w:rsidR="007F15E7">
              <w:rPr>
                <w:rFonts w:eastAsiaTheme="minorEastAsia"/>
                <w:sz w:val="22"/>
                <w:szCs w:val="22"/>
                <w:lang w:eastAsia="en-AU"/>
              </w:rPr>
              <w:tab/>
            </w:r>
            <w:r w:rsidR="007F15E7" w:rsidRPr="008029B9">
              <w:rPr>
                <w:rStyle w:val="Hyperlink"/>
              </w:rPr>
              <w:t>Residential requirements for authorisations</w:t>
            </w:r>
            <w:r w:rsidR="007F15E7">
              <w:rPr>
                <w:webHidden/>
              </w:rPr>
              <w:tab/>
            </w:r>
            <w:r w:rsidR="007F15E7">
              <w:rPr>
                <w:webHidden/>
              </w:rPr>
              <w:fldChar w:fldCharType="begin"/>
            </w:r>
            <w:r w:rsidR="007F15E7">
              <w:rPr>
                <w:webHidden/>
              </w:rPr>
              <w:instrText xml:space="preserve"> PAGEREF _Toc17104627 \h </w:instrText>
            </w:r>
            <w:r w:rsidR="007F15E7">
              <w:rPr>
                <w:webHidden/>
              </w:rPr>
            </w:r>
            <w:r w:rsidR="007F15E7">
              <w:rPr>
                <w:webHidden/>
              </w:rPr>
              <w:fldChar w:fldCharType="separate"/>
            </w:r>
            <w:r w:rsidR="007F15E7">
              <w:rPr>
                <w:webHidden/>
              </w:rPr>
              <w:t>16</w:t>
            </w:r>
            <w:r w:rsidR="007F15E7">
              <w:rPr>
                <w:webHidden/>
              </w:rPr>
              <w:fldChar w:fldCharType="end"/>
            </w:r>
          </w:hyperlink>
        </w:p>
        <w:p w14:paraId="2EF2F8D6" w14:textId="6AF8B411" w:rsidR="007F15E7" w:rsidRDefault="00461F99">
          <w:pPr>
            <w:pStyle w:val="TOC2"/>
            <w:tabs>
              <w:tab w:val="left" w:pos="1701"/>
            </w:tabs>
            <w:rPr>
              <w:rFonts w:eastAsiaTheme="minorEastAsia"/>
              <w:sz w:val="22"/>
              <w:szCs w:val="22"/>
              <w:lang w:eastAsia="en-AU"/>
            </w:rPr>
          </w:pPr>
          <w:hyperlink w:anchor="_Toc17104628" w:history="1">
            <w:r w:rsidR="007F15E7" w:rsidRPr="008029B9">
              <w:rPr>
                <w:rStyle w:val="Hyperlink"/>
              </w:rPr>
              <w:t>25.</w:t>
            </w:r>
            <w:r w:rsidR="007F15E7">
              <w:rPr>
                <w:rFonts w:eastAsiaTheme="minorEastAsia"/>
                <w:sz w:val="22"/>
                <w:szCs w:val="22"/>
                <w:lang w:eastAsia="en-AU"/>
              </w:rPr>
              <w:tab/>
            </w:r>
            <w:r w:rsidR="007F15E7" w:rsidRPr="008029B9">
              <w:rPr>
                <w:rStyle w:val="Hyperlink"/>
              </w:rPr>
              <w:t>High Risk Work Licence – Reassessment of competency</w:t>
            </w:r>
            <w:r w:rsidR="007F15E7">
              <w:rPr>
                <w:webHidden/>
              </w:rPr>
              <w:tab/>
            </w:r>
            <w:r w:rsidR="007F15E7">
              <w:rPr>
                <w:webHidden/>
              </w:rPr>
              <w:fldChar w:fldCharType="begin"/>
            </w:r>
            <w:r w:rsidR="007F15E7">
              <w:rPr>
                <w:webHidden/>
              </w:rPr>
              <w:instrText xml:space="preserve"> PAGEREF _Toc17104628 \h </w:instrText>
            </w:r>
            <w:r w:rsidR="007F15E7">
              <w:rPr>
                <w:webHidden/>
              </w:rPr>
            </w:r>
            <w:r w:rsidR="007F15E7">
              <w:rPr>
                <w:webHidden/>
              </w:rPr>
              <w:fldChar w:fldCharType="separate"/>
            </w:r>
            <w:r w:rsidR="007F15E7">
              <w:rPr>
                <w:webHidden/>
              </w:rPr>
              <w:t>16</w:t>
            </w:r>
            <w:r w:rsidR="007F15E7">
              <w:rPr>
                <w:webHidden/>
              </w:rPr>
              <w:fldChar w:fldCharType="end"/>
            </w:r>
          </w:hyperlink>
        </w:p>
        <w:p w14:paraId="3A40EDED" w14:textId="0E372737" w:rsidR="007F15E7" w:rsidRDefault="00461F99">
          <w:pPr>
            <w:pStyle w:val="TOC2"/>
            <w:tabs>
              <w:tab w:val="left" w:pos="1701"/>
            </w:tabs>
            <w:rPr>
              <w:rFonts w:eastAsiaTheme="minorEastAsia"/>
              <w:sz w:val="22"/>
              <w:szCs w:val="22"/>
              <w:lang w:eastAsia="en-AU"/>
            </w:rPr>
          </w:pPr>
          <w:hyperlink w:anchor="_Toc17104629" w:history="1">
            <w:r w:rsidR="007F15E7" w:rsidRPr="008029B9">
              <w:rPr>
                <w:rStyle w:val="Hyperlink"/>
              </w:rPr>
              <w:t>26.</w:t>
            </w:r>
            <w:r w:rsidR="007F15E7">
              <w:rPr>
                <w:rFonts w:eastAsiaTheme="minorEastAsia"/>
                <w:sz w:val="22"/>
                <w:szCs w:val="22"/>
                <w:lang w:eastAsia="en-AU"/>
              </w:rPr>
              <w:tab/>
            </w:r>
            <w:r w:rsidR="007F15E7" w:rsidRPr="008029B9">
              <w:rPr>
                <w:rStyle w:val="Hyperlink"/>
              </w:rPr>
              <w:t>High risk work licence – Grace period for renewal</w:t>
            </w:r>
            <w:r w:rsidR="007F15E7">
              <w:rPr>
                <w:webHidden/>
              </w:rPr>
              <w:tab/>
            </w:r>
            <w:r w:rsidR="007F15E7">
              <w:rPr>
                <w:webHidden/>
              </w:rPr>
              <w:fldChar w:fldCharType="begin"/>
            </w:r>
            <w:r w:rsidR="007F15E7">
              <w:rPr>
                <w:webHidden/>
              </w:rPr>
              <w:instrText xml:space="preserve"> PAGEREF _Toc17104629 \h </w:instrText>
            </w:r>
            <w:r w:rsidR="007F15E7">
              <w:rPr>
                <w:webHidden/>
              </w:rPr>
            </w:r>
            <w:r w:rsidR="007F15E7">
              <w:rPr>
                <w:webHidden/>
              </w:rPr>
              <w:fldChar w:fldCharType="separate"/>
            </w:r>
            <w:r w:rsidR="007F15E7">
              <w:rPr>
                <w:webHidden/>
              </w:rPr>
              <w:t>16</w:t>
            </w:r>
            <w:r w:rsidR="007F15E7">
              <w:rPr>
                <w:webHidden/>
              </w:rPr>
              <w:fldChar w:fldCharType="end"/>
            </w:r>
          </w:hyperlink>
        </w:p>
        <w:p w14:paraId="67F4822C" w14:textId="7C1F503F" w:rsidR="007F15E7" w:rsidRDefault="00461F99">
          <w:pPr>
            <w:pStyle w:val="TOC2"/>
            <w:tabs>
              <w:tab w:val="left" w:pos="1701"/>
            </w:tabs>
            <w:rPr>
              <w:rFonts w:eastAsiaTheme="minorEastAsia"/>
              <w:sz w:val="22"/>
              <w:szCs w:val="22"/>
              <w:lang w:eastAsia="en-AU"/>
            </w:rPr>
          </w:pPr>
          <w:hyperlink w:anchor="_Toc17104630" w:history="1">
            <w:r w:rsidR="007F15E7" w:rsidRPr="008029B9">
              <w:rPr>
                <w:rStyle w:val="Hyperlink"/>
                <w:lang w:val="en-US"/>
              </w:rPr>
              <w:t>27.</w:t>
            </w:r>
            <w:r w:rsidR="007F15E7">
              <w:rPr>
                <w:rFonts w:eastAsiaTheme="minorEastAsia"/>
                <w:sz w:val="22"/>
                <w:szCs w:val="22"/>
                <w:lang w:eastAsia="en-AU"/>
              </w:rPr>
              <w:tab/>
            </w:r>
            <w:r w:rsidR="007F15E7" w:rsidRPr="008029B9">
              <w:rPr>
                <w:rStyle w:val="Hyperlink"/>
                <w:lang w:val="en-US"/>
              </w:rPr>
              <w:t>English language requirements</w:t>
            </w:r>
            <w:r w:rsidR="007F15E7">
              <w:rPr>
                <w:webHidden/>
              </w:rPr>
              <w:tab/>
            </w:r>
            <w:r w:rsidR="007F15E7">
              <w:rPr>
                <w:webHidden/>
              </w:rPr>
              <w:fldChar w:fldCharType="begin"/>
            </w:r>
            <w:r w:rsidR="007F15E7">
              <w:rPr>
                <w:webHidden/>
              </w:rPr>
              <w:instrText xml:space="preserve"> PAGEREF _Toc17104630 \h </w:instrText>
            </w:r>
            <w:r w:rsidR="007F15E7">
              <w:rPr>
                <w:webHidden/>
              </w:rPr>
            </w:r>
            <w:r w:rsidR="007F15E7">
              <w:rPr>
                <w:webHidden/>
              </w:rPr>
              <w:fldChar w:fldCharType="separate"/>
            </w:r>
            <w:r w:rsidR="007F15E7">
              <w:rPr>
                <w:webHidden/>
              </w:rPr>
              <w:t>16</w:t>
            </w:r>
            <w:r w:rsidR="007F15E7">
              <w:rPr>
                <w:webHidden/>
              </w:rPr>
              <w:fldChar w:fldCharType="end"/>
            </w:r>
          </w:hyperlink>
        </w:p>
        <w:p w14:paraId="2A32D376" w14:textId="5DC95254" w:rsidR="007F15E7" w:rsidRDefault="00461F99">
          <w:pPr>
            <w:pStyle w:val="TOC2"/>
            <w:tabs>
              <w:tab w:val="left" w:pos="1701"/>
            </w:tabs>
            <w:rPr>
              <w:rFonts w:eastAsiaTheme="minorEastAsia"/>
              <w:sz w:val="22"/>
              <w:szCs w:val="22"/>
              <w:lang w:eastAsia="en-AU"/>
            </w:rPr>
          </w:pPr>
          <w:hyperlink w:anchor="_Toc17104631" w:history="1">
            <w:r w:rsidR="007F15E7" w:rsidRPr="008029B9">
              <w:rPr>
                <w:rStyle w:val="Hyperlink"/>
              </w:rPr>
              <w:t>28.</w:t>
            </w:r>
            <w:r w:rsidR="007F15E7">
              <w:rPr>
                <w:rFonts w:eastAsiaTheme="minorEastAsia"/>
                <w:sz w:val="22"/>
                <w:szCs w:val="22"/>
                <w:lang w:eastAsia="en-AU"/>
              </w:rPr>
              <w:tab/>
            </w:r>
            <w:r w:rsidR="007F15E7" w:rsidRPr="008029B9">
              <w:rPr>
                <w:rStyle w:val="Hyperlink"/>
              </w:rPr>
              <w:t>Concrete placing booms - HRWL</w:t>
            </w:r>
            <w:r w:rsidR="007F15E7">
              <w:rPr>
                <w:webHidden/>
              </w:rPr>
              <w:tab/>
            </w:r>
            <w:r w:rsidR="007F15E7">
              <w:rPr>
                <w:webHidden/>
              </w:rPr>
              <w:fldChar w:fldCharType="begin"/>
            </w:r>
            <w:r w:rsidR="007F15E7">
              <w:rPr>
                <w:webHidden/>
              </w:rPr>
              <w:instrText xml:space="preserve"> PAGEREF _Toc17104631 \h </w:instrText>
            </w:r>
            <w:r w:rsidR="007F15E7">
              <w:rPr>
                <w:webHidden/>
              </w:rPr>
            </w:r>
            <w:r w:rsidR="007F15E7">
              <w:rPr>
                <w:webHidden/>
              </w:rPr>
              <w:fldChar w:fldCharType="separate"/>
            </w:r>
            <w:r w:rsidR="007F15E7">
              <w:rPr>
                <w:webHidden/>
              </w:rPr>
              <w:t>16</w:t>
            </w:r>
            <w:r w:rsidR="007F15E7">
              <w:rPr>
                <w:webHidden/>
              </w:rPr>
              <w:fldChar w:fldCharType="end"/>
            </w:r>
          </w:hyperlink>
        </w:p>
        <w:p w14:paraId="7AE72AE8" w14:textId="2957635F" w:rsidR="007F15E7" w:rsidRDefault="00461F99">
          <w:pPr>
            <w:pStyle w:val="TOC2"/>
            <w:tabs>
              <w:tab w:val="left" w:pos="1701"/>
            </w:tabs>
            <w:rPr>
              <w:rFonts w:eastAsiaTheme="minorEastAsia"/>
              <w:sz w:val="22"/>
              <w:szCs w:val="22"/>
              <w:lang w:eastAsia="en-AU"/>
            </w:rPr>
          </w:pPr>
          <w:hyperlink w:anchor="_Toc17104632" w:history="1">
            <w:r w:rsidR="007F15E7" w:rsidRPr="008029B9">
              <w:rPr>
                <w:rStyle w:val="Hyperlink"/>
              </w:rPr>
              <w:t>29.</w:t>
            </w:r>
            <w:r w:rsidR="007F15E7">
              <w:rPr>
                <w:rFonts w:eastAsiaTheme="minorEastAsia"/>
                <w:sz w:val="22"/>
                <w:szCs w:val="22"/>
                <w:lang w:eastAsia="en-AU"/>
              </w:rPr>
              <w:tab/>
            </w:r>
            <w:r w:rsidR="007F15E7" w:rsidRPr="008029B9">
              <w:rPr>
                <w:rStyle w:val="Hyperlink"/>
              </w:rPr>
              <w:t>Forklift truck - HRWL</w:t>
            </w:r>
            <w:r w:rsidR="007F15E7">
              <w:rPr>
                <w:webHidden/>
              </w:rPr>
              <w:tab/>
            </w:r>
            <w:r w:rsidR="007F15E7">
              <w:rPr>
                <w:webHidden/>
              </w:rPr>
              <w:fldChar w:fldCharType="begin"/>
            </w:r>
            <w:r w:rsidR="007F15E7">
              <w:rPr>
                <w:webHidden/>
              </w:rPr>
              <w:instrText xml:space="preserve"> PAGEREF _Toc17104632 \h </w:instrText>
            </w:r>
            <w:r w:rsidR="007F15E7">
              <w:rPr>
                <w:webHidden/>
              </w:rPr>
            </w:r>
            <w:r w:rsidR="007F15E7">
              <w:rPr>
                <w:webHidden/>
              </w:rPr>
              <w:fldChar w:fldCharType="separate"/>
            </w:r>
            <w:r w:rsidR="007F15E7">
              <w:rPr>
                <w:webHidden/>
              </w:rPr>
              <w:t>17</w:t>
            </w:r>
            <w:r w:rsidR="007F15E7">
              <w:rPr>
                <w:webHidden/>
              </w:rPr>
              <w:fldChar w:fldCharType="end"/>
            </w:r>
          </w:hyperlink>
        </w:p>
        <w:p w14:paraId="11660CB5" w14:textId="6CFDD49D" w:rsidR="007F15E7" w:rsidRDefault="00461F99">
          <w:pPr>
            <w:pStyle w:val="TOC2"/>
            <w:tabs>
              <w:tab w:val="left" w:pos="1701"/>
            </w:tabs>
            <w:rPr>
              <w:rFonts w:eastAsiaTheme="minorEastAsia"/>
              <w:sz w:val="22"/>
              <w:szCs w:val="22"/>
              <w:lang w:eastAsia="en-AU"/>
            </w:rPr>
          </w:pPr>
          <w:hyperlink w:anchor="_Toc17104633" w:history="1">
            <w:r w:rsidR="007F15E7" w:rsidRPr="008029B9">
              <w:rPr>
                <w:rStyle w:val="Hyperlink"/>
              </w:rPr>
              <w:t>30.</w:t>
            </w:r>
            <w:r w:rsidR="007F15E7">
              <w:rPr>
                <w:rFonts w:eastAsiaTheme="minorEastAsia"/>
                <w:sz w:val="22"/>
                <w:szCs w:val="22"/>
                <w:lang w:eastAsia="en-AU"/>
              </w:rPr>
              <w:tab/>
            </w:r>
            <w:r w:rsidR="007F15E7" w:rsidRPr="008029B9">
              <w:rPr>
                <w:rStyle w:val="Hyperlink"/>
              </w:rPr>
              <w:t>Reach stackers – HRWL</w:t>
            </w:r>
            <w:r w:rsidR="007F15E7">
              <w:rPr>
                <w:webHidden/>
              </w:rPr>
              <w:tab/>
            </w:r>
            <w:r w:rsidR="007F15E7">
              <w:rPr>
                <w:webHidden/>
              </w:rPr>
              <w:fldChar w:fldCharType="begin"/>
            </w:r>
            <w:r w:rsidR="007F15E7">
              <w:rPr>
                <w:webHidden/>
              </w:rPr>
              <w:instrText xml:space="preserve"> PAGEREF _Toc17104633 \h </w:instrText>
            </w:r>
            <w:r w:rsidR="007F15E7">
              <w:rPr>
                <w:webHidden/>
              </w:rPr>
            </w:r>
            <w:r w:rsidR="007F15E7">
              <w:rPr>
                <w:webHidden/>
              </w:rPr>
              <w:fldChar w:fldCharType="separate"/>
            </w:r>
            <w:r w:rsidR="007F15E7">
              <w:rPr>
                <w:webHidden/>
              </w:rPr>
              <w:t>17</w:t>
            </w:r>
            <w:r w:rsidR="007F15E7">
              <w:rPr>
                <w:webHidden/>
              </w:rPr>
              <w:fldChar w:fldCharType="end"/>
            </w:r>
          </w:hyperlink>
        </w:p>
        <w:p w14:paraId="13022A23" w14:textId="099744A1" w:rsidR="007F15E7" w:rsidRDefault="00461F99">
          <w:pPr>
            <w:pStyle w:val="TOC2"/>
            <w:tabs>
              <w:tab w:val="left" w:pos="1701"/>
            </w:tabs>
            <w:rPr>
              <w:rFonts w:eastAsiaTheme="minorEastAsia"/>
              <w:sz w:val="22"/>
              <w:szCs w:val="22"/>
              <w:lang w:eastAsia="en-AU"/>
            </w:rPr>
          </w:pPr>
          <w:hyperlink w:anchor="_Toc17104634" w:history="1">
            <w:r w:rsidR="007F15E7" w:rsidRPr="008029B9">
              <w:rPr>
                <w:rStyle w:val="Hyperlink"/>
              </w:rPr>
              <w:t>31.</w:t>
            </w:r>
            <w:r w:rsidR="007F15E7">
              <w:rPr>
                <w:rFonts w:eastAsiaTheme="minorEastAsia"/>
                <w:sz w:val="22"/>
                <w:szCs w:val="22"/>
                <w:lang w:eastAsia="en-AU"/>
              </w:rPr>
              <w:tab/>
            </w:r>
            <w:r w:rsidR="007F15E7" w:rsidRPr="008029B9">
              <w:rPr>
                <w:rStyle w:val="Hyperlink"/>
              </w:rPr>
              <w:t>Boilers – high risk work licence classes</w:t>
            </w:r>
            <w:r w:rsidR="007F15E7">
              <w:rPr>
                <w:webHidden/>
              </w:rPr>
              <w:tab/>
            </w:r>
            <w:r w:rsidR="007F15E7">
              <w:rPr>
                <w:webHidden/>
              </w:rPr>
              <w:fldChar w:fldCharType="begin"/>
            </w:r>
            <w:r w:rsidR="007F15E7">
              <w:rPr>
                <w:webHidden/>
              </w:rPr>
              <w:instrText xml:space="preserve"> PAGEREF _Toc17104634 \h </w:instrText>
            </w:r>
            <w:r w:rsidR="007F15E7">
              <w:rPr>
                <w:webHidden/>
              </w:rPr>
            </w:r>
            <w:r w:rsidR="007F15E7">
              <w:rPr>
                <w:webHidden/>
              </w:rPr>
              <w:fldChar w:fldCharType="separate"/>
            </w:r>
            <w:r w:rsidR="007F15E7">
              <w:rPr>
                <w:webHidden/>
              </w:rPr>
              <w:t>17</w:t>
            </w:r>
            <w:r w:rsidR="007F15E7">
              <w:rPr>
                <w:webHidden/>
              </w:rPr>
              <w:fldChar w:fldCharType="end"/>
            </w:r>
          </w:hyperlink>
        </w:p>
        <w:p w14:paraId="551744E6" w14:textId="2BF33FAC" w:rsidR="007F15E7" w:rsidRDefault="00461F99">
          <w:pPr>
            <w:pStyle w:val="TOC2"/>
            <w:tabs>
              <w:tab w:val="left" w:pos="1701"/>
            </w:tabs>
            <w:rPr>
              <w:rFonts w:eastAsiaTheme="minorEastAsia"/>
              <w:sz w:val="22"/>
              <w:szCs w:val="22"/>
              <w:lang w:eastAsia="en-AU"/>
            </w:rPr>
          </w:pPr>
          <w:hyperlink w:anchor="_Toc17104635" w:history="1">
            <w:r w:rsidR="007F15E7" w:rsidRPr="008029B9">
              <w:rPr>
                <w:rStyle w:val="Hyperlink"/>
              </w:rPr>
              <w:t>32.</w:t>
            </w:r>
            <w:r w:rsidR="007F15E7">
              <w:rPr>
                <w:rFonts w:eastAsiaTheme="minorEastAsia"/>
                <w:sz w:val="22"/>
                <w:szCs w:val="22"/>
                <w:lang w:eastAsia="en-AU"/>
              </w:rPr>
              <w:tab/>
            </w:r>
            <w:r w:rsidR="007F15E7" w:rsidRPr="008029B9">
              <w:rPr>
                <w:rStyle w:val="Hyperlink"/>
              </w:rPr>
              <w:t>Registered Training Organisations to retain records - HRWL</w:t>
            </w:r>
            <w:r w:rsidR="007F15E7">
              <w:rPr>
                <w:webHidden/>
              </w:rPr>
              <w:tab/>
            </w:r>
            <w:r w:rsidR="007F15E7">
              <w:rPr>
                <w:webHidden/>
              </w:rPr>
              <w:fldChar w:fldCharType="begin"/>
            </w:r>
            <w:r w:rsidR="007F15E7">
              <w:rPr>
                <w:webHidden/>
              </w:rPr>
              <w:instrText xml:space="preserve"> PAGEREF _Toc17104635 \h </w:instrText>
            </w:r>
            <w:r w:rsidR="007F15E7">
              <w:rPr>
                <w:webHidden/>
              </w:rPr>
            </w:r>
            <w:r w:rsidR="007F15E7">
              <w:rPr>
                <w:webHidden/>
              </w:rPr>
              <w:fldChar w:fldCharType="separate"/>
            </w:r>
            <w:r w:rsidR="007F15E7">
              <w:rPr>
                <w:webHidden/>
              </w:rPr>
              <w:t>18</w:t>
            </w:r>
            <w:r w:rsidR="007F15E7">
              <w:rPr>
                <w:webHidden/>
              </w:rPr>
              <w:fldChar w:fldCharType="end"/>
            </w:r>
          </w:hyperlink>
        </w:p>
        <w:p w14:paraId="78BB10A1" w14:textId="7DD00565" w:rsidR="007F15E7" w:rsidRDefault="00461F99">
          <w:pPr>
            <w:pStyle w:val="TOC2"/>
            <w:tabs>
              <w:tab w:val="left" w:pos="1701"/>
            </w:tabs>
            <w:rPr>
              <w:rFonts w:eastAsiaTheme="minorEastAsia"/>
              <w:sz w:val="22"/>
              <w:szCs w:val="22"/>
              <w:lang w:eastAsia="en-AU"/>
            </w:rPr>
          </w:pPr>
          <w:hyperlink w:anchor="_Toc17104636" w:history="1">
            <w:r w:rsidR="007F15E7" w:rsidRPr="008029B9">
              <w:rPr>
                <w:rStyle w:val="Hyperlink"/>
              </w:rPr>
              <w:t>33.</w:t>
            </w:r>
            <w:r w:rsidR="007F15E7">
              <w:rPr>
                <w:rFonts w:eastAsiaTheme="minorEastAsia"/>
                <w:sz w:val="22"/>
                <w:szCs w:val="22"/>
                <w:lang w:eastAsia="en-AU"/>
              </w:rPr>
              <w:tab/>
            </w:r>
            <w:r w:rsidR="007F15E7" w:rsidRPr="008029B9">
              <w:rPr>
                <w:rStyle w:val="Hyperlink"/>
              </w:rPr>
              <w:t>Notice of demolition work</w:t>
            </w:r>
            <w:r w:rsidR="007F15E7">
              <w:rPr>
                <w:webHidden/>
              </w:rPr>
              <w:tab/>
            </w:r>
            <w:r w:rsidR="007F15E7">
              <w:rPr>
                <w:webHidden/>
              </w:rPr>
              <w:fldChar w:fldCharType="begin"/>
            </w:r>
            <w:r w:rsidR="007F15E7">
              <w:rPr>
                <w:webHidden/>
              </w:rPr>
              <w:instrText xml:space="preserve"> PAGEREF _Toc17104636 \h </w:instrText>
            </w:r>
            <w:r w:rsidR="007F15E7">
              <w:rPr>
                <w:webHidden/>
              </w:rPr>
            </w:r>
            <w:r w:rsidR="007F15E7">
              <w:rPr>
                <w:webHidden/>
              </w:rPr>
              <w:fldChar w:fldCharType="separate"/>
            </w:r>
            <w:r w:rsidR="007F15E7">
              <w:rPr>
                <w:webHidden/>
              </w:rPr>
              <w:t>18</w:t>
            </w:r>
            <w:r w:rsidR="007F15E7">
              <w:rPr>
                <w:webHidden/>
              </w:rPr>
              <w:fldChar w:fldCharType="end"/>
            </w:r>
          </w:hyperlink>
        </w:p>
        <w:p w14:paraId="3B79F1F7" w14:textId="654C895F" w:rsidR="007F15E7" w:rsidRDefault="00461F99">
          <w:pPr>
            <w:pStyle w:val="TOC2"/>
            <w:tabs>
              <w:tab w:val="left" w:pos="1701"/>
            </w:tabs>
            <w:rPr>
              <w:rFonts w:eastAsiaTheme="minorEastAsia"/>
              <w:sz w:val="22"/>
              <w:szCs w:val="22"/>
              <w:lang w:eastAsia="en-AU"/>
            </w:rPr>
          </w:pPr>
          <w:hyperlink w:anchor="_Toc17104637" w:history="1">
            <w:r w:rsidR="007F15E7" w:rsidRPr="008029B9">
              <w:rPr>
                <w:rStyle w:val="Hyperlink"/>
                <w:lang w:val="en"/>
              </w:rPr>
              <w:t>34.</w:t>
            </w:r>
            <w:r w:rsidR="007F15E7">
              <w:rPr>
                <w:rFonts w:eastAsiaTheme="minorEastAsia"/>
                <w:sz w:val="22"/>
                <w:szCs w:val="22"/>
                <w:lang w:eastAsia="en-AU"/>
              </w:rPr>
              <w:tab/>
            </w:r>
            <w:r w:rsidR="007F15E7" w:rsidRPr="008029B9">
              <w:rPr>
                <w:rStyle w:val="Hyperlink"/>
              </w:rPr>
              <w:t>General Electrical Safety in Workplaces and Energised Electrical Work</w:t>
            </w:r>
            <w:r w:rsidR="007F15E7">
              <w:rPr>
                <w:webHidden/>
              </w:rPr>
              <w:tab/>
            </w:r>
            <w:r w:rsidR="007F15E7">
              <w:rPr>
                <w:webHidden/>
              </w:rPr>
              <w:fldChar w:fldCharType="begin"/>
            </w:r>
            <w:r w:rsidR="007F15E7">
              <w:rPr>
                <w:webHidden/>
              </w:rPr>
              <w:instrText xml:space="preserve"> PAGEREF _Toc17104637 \h </w:instrText>
            </w:r>
            <w:r w:rsidR="007F15E7">
              <w:rPr>
                <w:webHidden/>
              </w:rPr>
            </w:r>
            <w:r w:rsidR="007F15E7">
              <w:rPr>
                <w:webHidden/>
              </w:rPr>
              <w:fldChar w:fldCharType="separate"/>
            </w:r>
            <w:r w:rsidR="007F15E7">
              <w:rPr>
                <w:webHidden/>
              </w:rPr>
              <w:t>19</w:t>
            </w:r>
            <w:r w:rsidR="007F15E7">
              <w:rPr>
                <w:webHidden/>
              </w:rPr>
              <w:fldChar w:fldCharType="end"/>
            </w:r>
          </w:hyperlink>
        </w:p>
        <w:p w14:paraId="504465C6" w14:textId="392B7585" w:rsidR="007F15E7" w:rsidRDefault="00461F99">
          <w:pPr>
            <w:pStyle w:val="TOC2"/>
            <w:tabs>
              <w:tab w:val="left" w:pos="1701"/>
            </w:tabs>
            <w:rPr>
              <w:rFonts w:eastAsiaTheme="minorEastAsia"/>
              <w:sz w:val="22"/>
              <w:szCs w:val="22"/>
              <w:lang w:eastAsia="en-AU"/>
            </w:rPr>
          </w:pPr>
          <w:hyperlink w:anchor="_Toc17104638" w:history="1">
            <w:r w:rsidR="007F15E7" w:rsidRPr="008029B9">
              <w:rPr>
                <w:rStyle w:val="Hyperlink"/>
                <w:lang w:eastAsia="en-AU"/>
              </w:rPr>
              <w:t>35.</w:t>
            </w:r>
            <w:r w:rsidR="007F15E7">
              <w:rPr>
                <w:rFonts w:eastAsiaTheme="minorEastAsia"/>
                <w:sz w:val="22"/>
                <w:szCs w:val="22"/>
                <w:lang w:eastAsia="en-AU"/>
              </w:rPr>
              <w:tab/>
            </w:r>
            <w:r w:rsidR="007F15E7" w:rsidRPr="008029B9">
              <w:rPr>
                <w:rStyle w:val="Hyperlink"/>
                <w:lang w:eastAsia="en-AU"/>
              </w:rPr>
              <w:t>Power for Inspector to immediately suspend an authorisation</w:t>
            </w:r>
            <w:r w:rsidR="007F15E7">
              <w:rPr>
                <w:webHidden/>
              </w:rPr>
              <w:tab/>
            </w:r>
            <w:r w:rsidR="007F15E7">
              <w:rPr>
                <w:webHidden/>
              </w:rPr>
              <w:fldChar w:fldCharType="begin"/>
            </w:r>
            <w:r w:rsidR="007F15E7">
              <w:rPr>
                <w:webHidden/>
              </w:rPr>
              <w:instrText xml:space="preserve"> PAGEREF _Toc17104638 \h </w:instrText>
            </w:r>
            <w:r w:rsidR="007F15E7">
              <w:rPr>
                <w:webHidden/>
              </w:rPr>
            </w:r>
            <w:r w:rsidR="007F15E7">
              <w:rPr>
                <w:webHidden/>
              </w:rPr>
              <w:fldChar w:fldCharType="separate"/>
            </w:r>
            <w:r w:rsidR="007F15E7">
              <w:rPr>
                <w:webHidden/>
              </w:rPr>
              <w:t>19</w:t>
            </w:r>
            <w:r w:rsidR="007F15E7">
              <w:rPr>
                <w:webHidden/>
              </w:rPr>
              <w:fldChar w:fldCharType="end"/>
            </w:r>
          </w:hyperlink>
        </w:p>
        <w:p w14:paraId="6B013CFC" w14:textId="1453C6DF" w:rsidR="007F15E7" w:rsidRDefault="00461F99">
          <w:pPr>
            <w:pStyle w:val="TOC2"/>
            <w:tabs>
              <w:tab w:val="left" w:pos="1701"/>
            </w:tabs>
            <w:rPr>
              <w:rFonts w:eastAsiaTheme="minorEastAsia"/>
              <w:sz w:val="22"/>
              <w:szCs w:val="22"/>
              <w:lang w:eastAsia="en-AU"/>
            </w:rPr>
          </w:pPr>
          <w:hyperlink w:anchor="_Toc17104639" w:history="1">
            <w:r w:rsidR="007F15E7" w:rsidRPr="008029B9">
              <w:rPr>
                <w:rStyle w:val="Hyperlink"/>
              </w:rPr>
              <w:t>36.</w:t>
            </w:r>
            <w:r w:rsidR="007F15E7">
              <w:rPr>
                <w:rFonts w:eastAsiaTheme="minorEastAsia"/>
                <w:sz w:val="22"/>
                <w:szCs w:val="22"/>
                <w:lang w:eastAsia="en-AU"/>
              </w:rPr>
              <w:tab/>
            </w:r>
            <w:r w:rsidR="007F15E7" w:rsidRPr="008029B9">
              <w:rPr>
                <w:rStyle w:val="Hyperlink"/>
              </w:rPr>
              <w:t>Making records available for inspection</w:t>
            </w:r>
            <w:r w:rsidR="007F15E7">
              <w:rPr>
                <w:webHidden/>
              </w:rPr>
              <w:tab/>
            </w:r>
            <w:r w:rsidR="007F15E7">
              <w:rPr>
                <w:webHidden/>
              </w:rPr>
              <w:fldChar w:fldCharType="begin"/>
            </w:r>
            <w:r w:rsidR="007F15E7">
              <w:rPr>
                <w:webHidden/>
              </w:rPr>
              <w:instrText xml:space="preserve"> PAGEREF _Toc17104639 \h </w:instrText>
            </w:r>
            <w:r w:rsidR="007F15E7">
              <w:rPr>
                <w:webHidden/>
              </w:rPr>
            </w:r>
            <w:r w:rsidR="007F15E7">
              <w:rPr>
                <w:webHidden/>
              </w:rPr>
              <w:fldChar w:fldCharType="separate"/>
            </w:r>
            <w:r w:rsidR="007F15E7">
              <w:rPr>
                <w:webHidden/>
              </w:rPr>
              <w:t>20</w:t>
            </w:r>
            <w:r w:rsidR="007F15E7">
              <w:rPr>
                <w:webHidden/>
              </w:rPr>
              <w:fldChar w:fldCharType="end"/>
            </w:r>
          </w:hyperlink>
        </w:p>
        <w:p w14:paraId="298D8A82" w14:textId="525F420E" w:rsidR="007F15E7" w:rsidRDefault="00461F99">
          <w:pPr>
            <w:pStyle w:val="TOC2"/>
            <w:tabs>
              <w:tab w:val="left" w:pos="1701"/>
            </w:tabs>
            <w:rPr>
              <w:rFonts w:eastAsiaTheme="minorEastAsia"/>
              <w:sz w:val="22"/>
              <w:szCs w:val="22"/>
              <w:lang w:eastAsia="en-AU"/>
            </w:rPr>
          </w:pPr>
          <w:hyperlink w:anchor="_Toc17104640" w:history="1">
            <w:r w:rsidR="007F15E7" w:rsidRPr="008029B9">
              <w:rPr>
                <w:rStyle w:val="Hyperlink"/>
              </w:rPr>
              <w:t>37.</w:t>
            </w:r>
            <w:r w:rsidR="007F15E7">
              <w:rPr>
                <w:rFonts w:eastAsiaTheme="minorEastAsia"/>
                <w:sz w:val="22"/>
                <w:szCs w:val="22"/>
                <w:lang w:eastAsia="en-AU"/>
              </w:rPr>
              <w:tab/>
            </w:r>
            <w:r w:rsidR="007F15E7" w:rsidRPr="008029B9">
              <w:rPr>
                <w:rStyle w:val="Hyperlink"/>
              </w:rPr>
              <w:t>Testing of electrical equipment and portable appliances – competent person</w:t>
            </w:r>
            <w:r w:rsidR="007F15E7">
              <w:rPr>
                <w:webHidden/>
              </w:rPr>
              <w:tab/>
            </w:r>
            <w:r w:rsidR="007F15E7">
              <w:rPr>
                <w:webHidden/>
              </w:rPr>
              <w:fldChar w:fldCharType="begin"/>
            </w:r>
            <w:r w:rsidR="007F15E7">
              <w:rPr>
                <w:webHidden/>
              </w:rPr>
              <w:instrText xml:space="preserve"> PAGEREF _Toc17104640 \h </w:instrText>
            </w:r>
            <w:r w:rsidR="007F15E7">
              <w:rPr>
                <w:webHidden/>
              </w:rPr>
            </w:r>
            <w:r w:rsidR="007F15E7">
              <w:rPr>
                <w:webHidden/>
              </w:rPr>
              <w:fldChar w:fldCharType="separate"/>
            </w:r>
            <w:r w:rsidR="007F15E7">
              <w:rPr>
                <w:webHidden/>
              </w:rPr>
              <w:t>20</w:t>
            </w:r>
            <w:r w:rsidR="007F15E7">
              <w:rPr>
                <w:webHidden/>
              </w:rPr>
              <w:fldChar w:fldCharType="end"/>
            </w:r>
          </w:hyperlink>
        </w:p>
        <w:p w14:paraId="3607538D" w14:textId="49DACDA8" w:rsidR="007F15E7" w:rsidRDefault="00461F99">
          <w:pPr>
            <w:pStyle w:val="TOC2"/>
            <w:tabs>
              <w:tab w:val="left" w:pos="1701"/>
            </w:tabs>
            <w:rPr>
              <w:rFonts w:eastAsiaTheme="minorEastAsia"/>
              <w:sz w:val="22"/>
              <w:szCs w:val="22"/>
              <w:lang w:eastAsia="en-AU"/>
            </w:rPr>
          </w:pPr>
          <w:hyperlink w:anchor="_Toc17104641" w:history="1">
            <w:r w:rsidR="007F15E7" w:rsidRPr="008029B9">
              <w:rPr>
                <w:rStyle w:val="Hyperlink"/>
              </w:rPr>
              <w:t>38.</w:t>
            </w:r>
            <w:r w:rsidR="007F15E7">
              <w:rPr>
                <w:rFonts w:eastAsiaTheme="minorEastAsia"/>
                <w:sz w:val="22"/>
                <w:szCs w:val="22"/>
                <w:lang w:eastAsia="en-AU"/>
              </w:rPr>
              <w:tab/>
            </w:r>
            <w:r w:rsidR="007F15E7" w:rsidRPr="008029B9">
              <w:rPr>
                <w:rStyle w:val="Hyperlink"/>
              </w:rPr>
              <w:t>Testing of electrical equipment and portable appliances – information tags</w:t>
            </w:r>
            <w:r w:rsidR="007F15E7">
              <w:rPr>
                <w:webHidden/>
              </w:rPr>
              <w:tab/>
            </w:r>
            <w:r w:rsidR="007F15E7">
              <w:rPr>
                <w:webHidden/>
              </w:rPr>
              <w:fldChar w:fldCharType="begin"/>
            </w:r>
            <w:r w:rsidR="007F15E7">
              <w:rPr>
                <w:webHidden/>
              </w:rPr>
              <w:instrText xml:space="preserve"> PAGEREF _Toc17104641 \h </w:instrText>
            </w:r>
            <w:r w:rsidR="007F15E7">
              <w:rPr>
                <w:webHidden/>
              </w:rPr>
            </w:r>
            <w:r w:rsidR="007F15E7">
              <w:rPr>
                <w:webHidden/>
              </w:rPr>
              <w:fldChar w:fldCharType="separate"/>
            </w:r>
            <w:r w:rsidR="007F15E7">
              <w:rPr>
                <w:webHidden/>
              </w:rPr>
              <w:t>20</w:t>
            </w:r>
            <w:r w:rsidR="007F15E7">
              <w:rPr>
                <w:webHidden/>
              </w:rPr>
              <w:fldChar w:fldCharType="end"/>
            </w:r>
          </w:hyperlink>
        </w:p>
        <w:p w14:paraId="521D1626" w14:textId="324EA956" w:rsidR="007F15E7" w:rsidRDefault="00461F99">
          <w:pPr>
            <w:pStyle w:val="TOC2"/>
            <w:tabs>
              <w:tab w:val="left" w:pos="1701"/>
            </w:tabs>
            <w:rPr>
              <w:rFonts w:eastAsiaTheme="minorEastAsia"/>
              <w:sz w:val="22"/>
              <w:szCs w:val="22"/>
              <w:lang w:eastAsia="en-AU"/>
            </w:rPr>
          </w:pPr>
          <w:hyperlink w:anchor="_Toc17104642" w:history="1">
            <w:r w:rsidR="007F15E7" w:rsidRPr="008029B9">
              <w:rPr>
                <w:rStyle w:val="Hyperlink"/>
              </w:rPr>
              <w:t>39.</w:t>
            </w:r>
            <w:r w:rsidR="007F15E7">
              <w:rPr>
                <w:rFonts w:eastAsiaTheme="minorEastAsia"/>
                <w:sz w:val="22"/>
                <w:szCs w:val="22"/>
                <w:lang w:eastAsia="en-AU"/>
              </w:rPr>
              <w:tab/>
            </w:r>
            <w:r w:rsidR="007F15E7" w:rsidRPr="008029B9">
              <w:rPr>
                <w:rStyle w:val="Hyperlink"/>
              </w:rPr>
              <w:t>Unsafe distances - overhead or underground electric line</w:t>
            </w:r>
            <w:r w:rsidR="007F15E7">
              <w:rPr>
                <w:webHidden/>
              </w:rPr>
              <w:tab/>
            </w:r>
            <w:r w:rsidR="007F15E7">
              <w:rPr>
                <w:webHidden/>
              </w:rPr>
              <w:fldChar w:fldCharType="begin"/>
            </w:r>
            <w:r w:rsidR="007F15E7">
              <w:rPr>
                <w:webHidden/>
              </w:rPr>
              <w:instrText xml:space="preserve"> PAGEREF _Toc17104642 \h </w:instrText>
            </w:r>
            <w:r w:rsidR="007F15E7">
              <w:rPr>
                <w:webHidden/>
              </w:rPr>
            </w:r>
            <w:r w:rsidR="007F15E7">
              <w:rPr>
                <w:webHidden/>
              </w:rPr>
              <w:fldChar w:fldCharType="separate"/>
            </w:r>
            <w:r w:rsidR="007F15E7">
              <w:rPr>
                <w:webHidden/>
              </w:rPr>
              <w:t>20</w:t>
            </w:r>
            <w:r w:rsidR="007F15E7">
              <w:rPr>
                <w:webHidden/>
              </w:rPr>
              <w:fldChar w:fldCharType="end"/>
            </w:r>
          </w:hyperlink>
        </w:p>
        <w:p w14:paraId="40E7860C" w14:textId="5E817EEC" w:rsidR="007F15E7" w:rsidRDefault="00461F99">
          <w:pPr>
            <w:pStyle w:val="TOC2"/>
            <w:tabs>
              <w:tab w:val="left" w:pos="1701"/>
            </w:tabs>
            <w:rPr>
              <w:rFonts w:eastAsiaTheme="minorEastAsia"/>
              <w:sz w:val="22"/>
              <w:szCs w:val="22"/>
              <w:lang w:eastAsia="en-AU"/>
            </w:rPr>
          </w:pPr>
          <w:hyperlink w:anchor="_Toc17104643" w:history="1">
            <w:r w:rsidR="007F15E7" w:rsidRPr="008029B9">
              <w:rPr>
                <w:rStyle w:val="Hyperlink"/>
              </w:rPr>
              <w:t>40.</w:t>
            </w:r>
            <w:r w:rsidR="007F15E7">
              <w:rPr>
                <w:rFonts w:eastAsiaTheme="minorEastAsia"/>
                <w:sz w:val="22"/>
                <w:szCs w:val="22"/>
                <w:lang w:eastAsia="en-AU"/>
              </w:rPr>
              <w:tab/>
            </w:r>
            <w:r w:rsidR="007F15E7" w:rsidRPr="008029B9">
              <w:rPr>
                <w:rStyle w:val="Hyperlink"/>
              </w:rPr>
              <w:t>Implementation of OSH regulations – connection to construction site</w:t>
            </w:r>
            <w:r w:rsidR="007F15E7">
              <w:rPr>
                <w:webHidden/>
              </w:rPr>
              <w:tab/>
            </w:r>
            <w:r w:rsidR="007F15E7">
              <w:rPr>
                <w:webHidden/>
              </w:rPr>
              <w:fldChar w:fldCharType="begin"/>
            </w:r>
            <w:r w:rsidR="007F15E7">
              <w:rPr>
                <w:webHidden/>
              </w:rPr>
              <w:instrText xml:space="preserve"> PAGEREF _Toc17104643 \h </w:instrText>
            </w:r>
            <w:r w:rsidR="007F15E7">
              <w:rPr>
                <w:webHidden/>
              </w:rPr>
            </w:r>
            <w:r w:rsidR="007F15E7">
              <w:rPr>
                <w:webHidden/>
              </w:rPr>
              <w:fldChar w:fldCharType="separate"/>
            </w:r>
            <w:r w:rsidR="007F15E7">
              <w:rPr>
                <w:webHidden/>
              </w:rPr>
              <w:t>20</w:t>
            </w:r>
            <w:r w:rsidR="007F15E7">
              <w:rPr>
                <w:webHidden/>
              </w:rPr>
              <w:fldChar w:fldCharType="end"/>
            </w:r>
          </w:hyperlink>
        </w:p>
        <w:p w14:paraId="0D0E56D3" w14:textId="2922A25C" w:rsidR="007F15E7" w:rsidRDefault="00461F99">
          <w:pPr>
            <w:pStyle w:val="TOC2"/>
            <w:tabs>
              <w:tab w:val="left" w:pos="1701"/>
            </w:tabs>
            <w:rPr>
              <w:rFonts w:eastAsiaTheme="minorEastAsia"/>
              <w:sz w:val="22"/>
              <w:szCs w:val="22"/>
              <w:lang w:eastAsia="en-AU"/>
            </w:rPr>
          </w:pPr>
          <w:hyperlink w:anchor="_Toc17104644" w:history="1">
            <w:r w:rsidR="007F15E7" w:rsidRPr="008029B9">
              <w:rPr>
                <w:rStyle w:val="Hyperlink"/>
              </w:rPr>
              <w:t>41.</w:t>
            </w:r>
            <w:r w:rsidR="007F15E7">
              <w:rPr>
                <w:rFonts w:eastAsiaTheme="minorEastAsia"/>
                <w:sz w:val="22"/>
                <w:szCs w:val="22"/>
                <w:lang w:eastAsia="en-AU"/>
              </w:rPr>
              <w:tab/>
            </w:r>
            <w:r w:rsidR="007F15E7" w:rsidRPr="008029B9">
              <w:rPr>
                <w:rStyle w:val="Hyperlink"/>
              </w:rPr>
              <w:t>Implementation of OSH regulations – evidence portable electrical equipment has been tested</w:t>
            </w:r>
            <w:r w:rsidR="007F15E7">
              <w:rPr>
                <w:webHidden/>
              </w:rPr>
              <w:tab/>
            </w:r>
            <w:r w:rsidR="007F15E7">
              <w:rPr>
                <w:webHidden/>
              </w:rPr>
              <w:fldChar w:fldCharType="begin"/>
            </w:r>
            <w:r w:rsidR="007F15E7">
              <w:rPr>
                <w:webHidden/>
              </w:rPr>
              <w:instrText xml:space="preserve"> PAGEREF _Toc17104644 \h </w:instrText>
            </w:r>
            <w:r w:rsidR="007F15E7">
              <w:rPr>
                <w:webHidden/>
              </w:rPr>
            </w:r>
            <w:r w:rsidR="007F15E7">
              <w:rPr>
                <w:webHidden/>
              </w:rPr>
              <w:fldChar w:fldCharType="separate"/>
            </w:r>
            <w:r w:rsidR="007F15E7">
              <w:rPr>
                <w:webHidden/>
              </w:rPr>
              <w:t>21</w:t>
            </w:r>
            <w:r w:rsidR="007F15E7">
              <w:rPr>
                <w:webHidden/>
              </w:rPr>
              <w:fldChar w:fldCharType="end"/>
            </w:r>
          </w:hyperlink>
        </w:p>
        <w:p w14:paraId="7A2595AB" w14:textId="0C1C92A1" w:rsidR="007F15E7" w:rsidRDefault="00461F99">
          <w:pPr>
            <w:pStyle w:val="TOC2"/>
            <w:tabs>
              <w:tab w:val="left" w:pos="1701"/>
            </w:tabs>
            <w:rPr>
              <w:rFonts w:eastAsiaTheme="minorEastAsia"/>
              <w:sz w:val="22"/>
              <w:szCs w:val="22"/>
              <w:lang w:eastAsia="en-AU"/>
            </w:rPr>
          </w:pPr>
          <w:hyperlink w:anchor="_Toc17104645" w:history="1">
            <w:r w:rsidR="007F15E7" w:rsidRPr="008029B9">
              <w:rPr>
                <w:rStyle w:val="Hyperlink"/>
              </w:rPr>
              <w:t>42.</w:t>
            </w:r>
            <w:r w:rsidR="007F15E7">
              <w:rPr>
                <w:rFonts w:eastAsiaTheme="minorEastAsia"/>
                <w:sz w:val="22"/>
                <w:szCs w:val="22"/>
                <w:lang w:eastAsia="en-AU"/>
              </w:rPr>
              <w:tab/>
            </w:r>
            <w:r w:rsidR="007F15E7" w:rsidRPr="008029B9">
              <w:rPr>
                <w:rStyle w:val="Hyperlink"/>
              </w:rPr>
              <w:t>Diving work - construction</w:t>
            </w:r>
            <w:r w:rsidR="007F15E7">
              <w:rPr>
                <w:webHidden/>
              </w:rPr>
              <w:tab/>
            </w:r>
            <w:r w:rsidR="007F15E7">
              <w:rPr>
                <w:webHidden/>
              </w:rPr>
              <w:fldChar w:fldCharType="begin"/>
            </w:r>
            <w:r w:rsidR="007F15E7">
              <w:rPr>
                <w:webHidden/>
              </w:rPr>
              <w:instrText xml:space="preserve"> PAGEREF _Toc17104645 \h </w:instrText>
            </w:r>
            <w:r w:rsidR="007F15E7">
              <w:rPr>
                <w:webHidden/>
              </w:rPr>
            </w:r>
            <w:r w:rsidR="007F15E7">
              <w:rPr>
                <w:webHidden/>
              </w:rPr>
              <w:fldChar w:fldCharType="separate"/>
            </w:r>
            <w:r w:rsidR="007F15E7">
              <w:rPr>
                <w:webHidden/>
              </w:rPr>
              <w:t>21</w:t>
            </w:r>
            <w:r w:rsidR="007F15E7">
              <w:rPr>
                <w:webHidden/>
              </w:rPr>
              <w:fldChar w:fldCharType="end"/>
            </w:r>
          </w:hyperlink>
        </w:p>
        <w:p w14:paraId="0EEBCA18" w14:textId="1C9880AF" w:rsidR="007F15E7" w:rsidRDefault="00461F99">
          <w:pPr>
            <w:pStyle w:val="TOC2"/>
            <w:tabs>
              <w:tab w:val="left" w:pos="1701"/>
            </w:tabs>
            <w:rPr>
              <w:rFonts w:eastAsiaTheme="minorEastAsia"/>
              <w:sz w:val="22"/>
              <w:szCs w:val="22"/>
              <w:lang w:eastAsia="en-AU"/>
            </w:rPr>
          </w:pPr>
          <w:hyperlink w:anchor="_Toc17104646" w:history="1">
            <w:r w:rsidR="007F15E7" w:rsidRPr="008029B9">
              <w:rPr>
                <w:rStyle w:val="Hyperlink"/>
              </w:rPr>
              <w:t>43.</w:t>
            </w:r>
            <w:r w:rsidR="007F15E7">
              <w:rPr>
                <w:rFonts w:eastAsiaTheme="minorEastAsia"/>
                <w:sz w:val="22"/>
                <w:szCs w:val="22"/>
                <w:lang w:eastAsia="en-AU"/>
              </w:rPr>
              <w:tab/>
            </w:r>
            <w:r w:rsidR="007F15E7" w:rsidRPr="008029B9">
              <w:rPr>
                <w:rStyle w:val="Hyperlink"/>
              </w:rPr>
              <w:t>Diving work - other</w:t>
            </w:r>
            <w:r w:rsidR="007F15E7">
              <w:rPr>
                <w:webHidden/>
              </w:rPr>
              <w:tab/>
            </w:r>
            <w:r w:rsidR="007F15E7">
              <w:rPr>
                <w:webHidden/>
              </w:rPr>
              <w:fldChar w:fldCharType="begin"/>
            </w:r>
            <w:r w:rsidR="007F15E7">
              <w:rPr>
                <w:webHidden/>
              </w:rPr>
              <w:instrText xml:space="preserve"> PAGEREF _Toc17104646 \h </w:instrText>
            </w:r>
            <w:r w:rsidR="007F15E7">
              <w:rPr>
                <w:webHidden/>
              </w:rPr>
            </w:r>
            <w:r w:rsidR="007F15E7">
              <w:rPr>
                <w:webHidden/>
              </w:rPr>
              <w:fldChar w:fldCharType="separate"/>
            </w:r>
            <w:r w:rsidR="007F15E7">
              <w:rPr>
                <w:webHidden/>
              </w:rPr>
              <w:t>21</w:t>
            </w:r>
            <w:r w:rsidR="007F15E7">
              <w:rPr>
                <w:webHidden/>
              </w:rPr>
              <w:fldChar w:fldCharType="end"/>
            </w:r>
          </w:hyperlink>
        </w:p>
        <w:p w14:paraId="06B4AFB2" w14:textId="1AE3DE57" w:rsidR="007F15E7" w:rsidRDefault="00461F99">
          <w:pPr>
            <w:pStyle w:val="TOC1"/>
            <w:rPr>
              <w:rFonts w:eastAsiaTheme="minorEastAsia"/>
              <w:szCs w:val="22"/>
              <w:lang w:eastAsia="en-AU"/>
            </w:rPr>
          </w:pPr>
          <w:hyperlink w:anchor="_Toc17104647" w:history="1">
            <w:r w:rsidR="007F15E7" w:rsidRPr="008029B9">
              <w:rPr>
                <w:rStyle w:val="Hyperlink"/>
              </w:rPr>
              <w:t>Chapter Five – Plant and Structures</w:t>
            </w:r>
            <w:r w:rsidR="007F15E7">
              <w:rPr>
                <w:webHidden/>
              </w:rPr>
              <w:tab/>
            </w:r>
            <w:r w:rsidR="007F15E7">
              <w:rPr>
                <w:webHidden/>
              </w:rPr>
              <w:fldChar w:fldCharType="begin"/>
            </w:r>
            <w:r w:rsidR="007F15E7">
              <w:rPr>
                <w:webHidden/>
              </w:rPr>
              <w:instrText xml:space="preserve"> PAGEREF _Toc17104647 \h </w:instrText>
            </w:r>
            <w:r w:rsidR="007F15E7">
              <w:rPr>
                <w:webHidden/>
              </w:rPr>
            </w:r>
            <w:r w:rsidR="007F15E7">
              <w:rPr>
                <w:webHidden/>
              </w:rPr>
              <w:fldChar w:fldCharType="separate"/>
            </w:r>
            <w:r w:rsidR="007F15E7">
              <w:rPr>
                <w:webHidden/>
              </w:rPr>
              <w:t>21</w:t>
            </w:r>
            <w:r w:rsidR="007F15E7">
              <w:rPr>
                <w:webHidden/>
              </w:rPr>
              <w:fldChar w:fldCharType="end"/>
            </w:r>
          </w:hyperlink>
        </w:p>
        <w:p w14:paraId="5CC5033F" w14:textId="75BC8E27" w:rsidR="007F15E7" w:rsidRDefault="00461F99">
          <w:pPr>
            <w:pStyle w:val="TOC2"/>
            <w:tabs>
              <w:tab w:val="left" w:pos="1701"/>
            </w:tabs>
            <w:rPr>
              <w:rFonts w:eastAsiaTheme="minorEastAsia"/>
              <w:sz w:val="22"/>
              <w:szCs w:val="22"/>
              <w:lang w:eastAsia="en-AU"/>
            </w:rPr>
          </w:pPr>
          <w:hyperlink w:anchor="_Toc17104648" w:history="1">
            <w:r w:rsidR="007F15E7" w:rsidRPr="008029B9">
              <w:rPr>
                <w:rStyle w:val="Hyperlink"/>
              </w:rPr>
              <w:t>44.</w:t>
            </w:r>
            <w:r w:rsidR="007F15E7">
              <w:rPr>
                <w:rFonts w:eastAsiaTheme="minorEastAsia"/>
                <w:sz w:val="22"/>
                <w:szCs w:val="22"/>
                <w:lang w:eastAsia="en-AU"/>
              </w:rPr>
              <w:tab/>
            </w:r>
            <w:r w:rsidR="007F15E7" w:rsidRPr="008029B9">
              <w:rPr>
                <w:rStyle w:val="Hyperlink"/>
              </w:rPr>
              <w:t>Roll-over protection on tractors</w:t>
            </w:r>
            <w:r w:rsidR="007F15E7">
              <w:rPr>
                <w:webHidden/>
              </w:rPr>
              <w:tab/>
            </w:r>
            <w:r w:rsidR="007F15E7">
              <w:rPr>
                <w:webHidden/>
              </w:rPr>
              <w:fldChar w:fldCharType="begin"/>
            </w:r>
            <w:r w:rsidR="007F15E7">
              <w:rPr>
                <w:webHidden/>
              </w:rPr>
              <w:instrText xml:space="preserve"> PAGEREF _Toc17104648 \h </w:instrText>
            </w:r>
            <w:r w:rsidR="007F15E7">
              <w:rPr>
                <w:webHidden/>
              </w:rPr>
            </w:r>
            <w:r w:rsidR="007F15E7">
              <w:rPr>
                <w:webHidden/>
              </w:rPr>
              <w:fldChar w:fldCharType="separate"/>
            </w:r>
            <w:r w:rsidR="007F15E7">
              <w:rPr>
                <w:webHidden/>
              </w:rPr>
              <w:t>21</w:t>
            </w:r>
            <w:r w:rsidR="007F15E7">
              <w:rPr>
                <w:webHidden/>
              </w:rPr>
              <w:fldChar w:fldCharType="end"/>
            </w:r>
          </w:hyperlink>
        </w:p>
        <w:p w14:paraId="0D1A81F3" w14:textId="400FDE48" w:rsidR="007F15E7" w:rsidRDefault="00461F99">
          <w:pPr>
            <w:pStyle w:val="TOC2"/>
            <w:tabs>
              <w:tab w:val="left" w:pos="1701"/>
            </w:tabs>
            <w:rPr>
              <w:rFonts w:eastAsiaTheme="minorEastAsia"/>
              <w:sz w:val="22"/>
              <w:szCs w:val="22"/>
              <w:lang w:eastAsia="en-AU"/>
            </w:rPr>
          </w:pPr>
          <w:hyperlink w:anchor="_Toc17104649" w:history="1">
            <w:r w:rsidR="007F15E7" w:rsidRPr="008029B9">
              <w:rPr>
                <w:rStyle w:val="Hyperlink"/>
              </w:rPr>
              <w:t>45.</w:t>
            </w:r>
            <w:r w:rsidR="007F15E7">
              <w:rPr>
                <w:rFonts w:eastAsiaTheme="minorEastAsia"/>
                <w:sz w:val="22"/>
                <w:szCs w:val="22"/>
                <w:lang w:eastAsia="en-AU"/>
              </w:rPr>
              <w:tab/>
            </w:r>
            <w:r w:rsidR="007F15E7" w:rsidRPr="008029B9">
              <w:rPr>
                <w:rStyle w:val="Hyperlink"/>
              </w:rPr>
              <w:t>Tree lopping</w:t>
            </w:r>
            <w:r w:rsidR="007F15E7">
              <w:rPr>
                <w:webHidden/>
              </w:rPr>
              <w:tab/>
            </w:r>
            <w:r w:rsidR="007F15E7">
              <w:rPr>
                <w:webHidden/>
              </w:rPr>
              <w:fldChar w:fldCharType="begin"/>
            </w:r>
            <w:r w:rsidR="007F15E7">
              <w:rPr>
                <w:webHidden/>
              </w:rPr>
              <w:instrText xml:space="preserve"> PAGEREF _Toc17104649 \h </w:instrText>
            </w:r>
            <w:r w:rsidR="007F15E7">
              <w:rPr>
                <w:webHidden/>
              </w:rPr>
            </w:r>
            <w:r w:rsidR="007F15E7">
              <w:rPr>
                <w:webHidden/>
              </w:rPr>
              <w:fldChar w:fldCharType="separate"/>
            </w:r>
            <w:r w:rsidR="007F15E7">
              <w:rPr>
                <w:webHidden/>
              </w:rPr>
              <w:t>21</w:t>
            </w:r>
            <w:r w:rsidR="007F15E7">
              <w:rPr>
                <w:webHidden/>
              </w:rPr>
              <w:fldChar w:fldCharType="end"/>
            </w:r>
          </w:hyperlink>
        </w:p>
        <w:p w14:paraId="4CF7F6A2" w14:textId="2DB8CE46" w:rsidR="007F15E7" w:rsidRDefault="00461F99">
          <w:pPr>
            <w:pStyle w:val="TOC2"/>
            <w:tabs>
              <w:tab w:val="left" w:pos="1701"/>
            </w:tabs>
            <w:rPr>
              <w:rFonts w:eastAsiaTheme="minorEastAsia"/>
              <w:sz w:val="22"/>
              <w:szCs w:val="22"/>
              <w:lang w:eastAsia="en-AU"/>
            </w:rPr>
          </w:pPr>
          <w:hyperlink w:anchor="_Toc17104650" w:history="1">
            <w:r w:rsidR="007F15E7" w:rsidRPr="008029B9">
              <w:rPr>
                <w:rStyle w:val="Hyperlink"/>
              </w:rPr>
              <w:t>46.</w:t>
            </w:r>
            <w:r w:rsidR="007F15E7">
              <w:rPr>
                <w:rFonts w:eastAsiaTheme="minorEastAsia"/>
                <w:sz w:val="22"/>
                <w:szCs w:val="22"/>
                <w:lang w:eastAsia="en-AU"/>
              </w:rPr>
              <w:tab/>
            </w:r>
            <w:r w:rsidR="007F15E7" w:rsidRPr="008029B9">
              <w:rPr>
                <w:rStyle w:val="Hyperlink"/>
              </w:rPr>
              <w:t>Retention of records - plant</w:t>
            </w:r>
            <w:r w:rsidR="007F15E7">
              <w:rPr>
                <w:webHidden/>
              </w:rPr>
              <w:tab/>
            </w:r>
            <w:r w:rsidR="007F15E7">
              <w:rPr>
                <w:webHidden/>
              </w:rPr>
              <w:fldChar w:fldCharType="begin"/>
            </w:r>
            <w:r w:rsidR="007F15E7">
              <w:rPr>
                <w:webHidden/>
              </w:rPr>
              <w:instrText xml:space="preserve"> PAGEREF _Toc17104650 \h </w:instrText>
            </w:r>
            <w:r w:rsidR="007F15E7">
              <w:rPr>
                <w:webHidden/>
              </w:rPr>
            </w:r>
            <w:r w:rsidR="007F15E7">
              <w:rPr>
                <w:webHidden/>
              </w:rPr>
              <w:fldChar w:fldCharType="separate"/>
            </w:r>
            <w:r w:rsidR="007F15E7">
              <w:rPr>
                <w:webHidden/>
              </w:rPr>
              <w:t>21</w:t>
            </w:r>
            <w:r w:rsidR="007F15E7">
              <w:rPr>
                <w:webHidden/>
              </w:rPr>
              <w:fldChar w:fldCharType="end"/>
            </w:r>
          </w:hyperlink>
        </w:p>
        <w:p w14:paraId="5FBD76E5" w14:textId="360B5F11" w:rsidR="007F15E7" w:rsidRDefault="00461F99">
          <w:pPr>
            <w:pStyle w:val="TOC2"/>
            <w:tabs>
              <w:tab w:val="left" w:pos="1701"/>
            </w:tabs>
            <w:rPr>
              <w:rFonts w:eastAsiaTheme="minorEastAsia"/>
              <w:sz w:val="22"/>
              <w:szCs w:val="22"/>
              <w:lang w:eastAsia="en-AU"/>
            </w:rPr>
          </w:pPr>
          <w:hyperlink w:anchor="_Toc17104651" w:history="1">
            <w:r w:rsidR="007F15E7" w:rsidRPr="008029B9">
              <w:rPr>
                <w:rStyle w:val="Hyperlink"/>
                <w:lang w:eastAsia="en-AU"/>
              </w:rPr>
              <w:t>47.</w:t>
            </w:r>
            <w:r w:rsidR="007F15E7">
              <w:rPr>
                <w:rFonts w:eastAsiaTheme="minorEastAsia"/>
                <w:sz w:val="22"/>
                <w:szCs w:val="22"/>
                <w:lang w:eastAsia="en-AU"/>
              </w:rPr>
              <w:tab/>
            </w:r>
            <w:r w:rsidR="007F15E7" w:rsidRPr="008029B9">
              <w:rPr>
                <w:rStyle w:val="Hyperlink"/>
                <w:lang w:eastAsia="en-AU"/>
              </w:rPr>
              <w:t xml:space="preserve">Duties of a </w:t>
            </w:r>
            <w:r w:rsidR="007F15E7" w:rsidRPr="008029B9">
              <w:rPr>
                <w:rStyle w:val="Hyperlink"/>
              </w:rPr>
              <w:t>person</w:t>
            </w:r>
            <w:r w:rsidR="007F15E7" w:rsidRPr="008029B9">
              <w:rPr>
                <w:rStyle w:val="Hyperlink"/>
                <w:lang w:eastAsia="en-AU"/>
              </w:rPr>
              <w:t xml:space="preserve"> conducting a business or undertaking involving the management or control of plant – Major inspection</w:t>
            </w:r>
            <w:r w:rsidR="007F15E7">
              <w:rPr>
                <w:webHidden/>
              </w:rPr>
              <w:tab/>
            </w:r>
            <w:r w:rsidR="007F15E7">
              <w:rPr>
                <w:webHidden/>
              </w:rPr>
              <w:fldChar w:fldCharType="begin"/>
            </w:r>
            <w:r w:rsidR="007F15E7">
              <w:rPr>
                <w:webHidden/>
              </w:rPr>
              <w:instrText xml:space="preserve"> PAGEREF _Toc17104651 \h </w:instrText>
            </w:r>
            <w:r w:rsidR="007F15E7">
              <w:rPr>
                <w:webHidden/>
              </w:rPr>
            </w:r>
            <w:r w:rsidR="007F15E7">
              <w:rPr>
                <w:webHidden/>
              </w:rPr>
              <w:fldChar w:fldCharType="separate"/>
            </w:r>
            <w:r w:rsidR="007F15E7">
              <w:rPr>
                <w:webHidden/>
              </w:rPr>
              <w:t>22</w:t>
            </w:r>
            <w:r w:rsidR="007F15E7">
              <w:rPr>
                <w:webHidden/>
              </w:rPr>
              <w:fldChar w:fldCharType="end"/>
            </w:r>
          </w:hyperlink>
        </w:p>
        <w:p w14:paraId="02872B6D" w14:textId="77D03817" w:rsidR="007F15E7" w:rsidRDefault="00461F99">
          <w:pPr>
            <w:pStyle w:val="TOC2"/>
            <w:tabs>
              <w:tab w:val="left" w:pos="1701"/>
            </w:tabs>
            <w:rPr>
              <w:rFonts w:eastAsiaTheme="minorEastAsia"/>
              <w:sz w:val="22"/>
              <w:szCs w:val="22"/>
              <w:lang w:eastAsia="en-AU"/>
            </w:rPr>
          </w:pPr>
          <w:hyperlink w:anchor="_Toc17104652" w:history="1">
            <w:r w:rsidR="007F15E7" w:rsidRPr="008029B9">
              <w:rPr>
                <w:rStyle w:val="Hyperlink"/>
                <w:lang w:eastAsia="en-AU"/>
              </w:rPr>
              <w:t>48.</w:t>
            </w:r>
            <w:r w:rsidR="007F15E7">
              <w:rPr>
                <w:rFonts w:eastAsiaTheme="minorEastAsia"/>
                <w:sz w:val="22"/>
                <w:szCs w:val="22"/>
                <w:lang w:eastAsia="en-AU"/>
              </w:rPr>
              <w:tab/>
            </w:r>
            <w:r w:rsidR="007F15E7" w:rsidRPr="008029B9">
              <w:rPr>
                <w:rStyle w:val="Hyperlink"/>
                <w:lang w:eastAsia="en-AU"/>
              </w:rPr>
              <w:t xml:space="preserve">Duties of a </w:t>
            </w:r>
            <w:r w:rsidR="007F15E7" w:rsidRPr="008029B9">
              <w:rPr>
                <w:rStyle w:val="Hyperlink"/>
              </w:rPr>
              <w:t>person</w:t>
            </w:r>
            <w:r w:rsidR="007F15E7" w:rsidRPr="008029B9">
              <w:rPr>
                <w:rStyle w:val="Hyperlink"/>
                <w:lang w:eastAsia="en-AU"/>
              </w:rPr>
              <w:t xml:space="preserve"> conducting a business or undertaking involving the management or control of plant – Competent person</w:t>
            </w:r>
            <w:r w:rsidR="007F15E7">
              <w:rPr>
                <w:webHidden/>
              </w:rPr>
              <w:tab/>
            </w:r>
            <w:r w:rsidR="007F15E7">
              <w:rPr>
                <w:webHidden/>
              </w:rPr>
              <w:fldChar w:fldCharType="begin"/>
            </w:r>
            <w:r w:rsidR="007F15E7">
              <w:rPr>
                <w:webHidden/>
              </w:rPr>
              <w:instrText xml:space="preserve"> PAGEREF _Toc17104652 \h </w:instrText>
            </w:r>
            <w:r w:rsidR="007F15E7">
              <w:rPr>
                <w:webHidden/>
              </w:rPr>
            </w:r>
            <w:r w:rsidR="007F15E7">
              <w:rPr>
                <w:webHidden/>
              </w:rPr>
              <w:fldChar w:fldCharType="separate"/>
            </w:r>
            <w:r w:rsidR="007F15E7">
              <w:rPr>
                <w:webHidden/>
              </w:rPr>
              <w:t>22</w:t>
            </w:r>
            <w:r w:rsidR="007F15E7">
              <w:rPr>
                <w:webHidden/>
              </w:rPr>
              <w:fldChar w:fldCharType="end"/>
            </w:r>
          </w:hyperlink>
        </w:p>
        <w:p w14:paraId="1699AE38" w14:textId="542817BC" w:rsidR="007F15E7" w:rsidRDefault="00461F99">
          <w:pPr>
            <w:pStyle w:val="TOC2"/>
            <w:tabs>
              <w:tab w:val="left" w:pos="1701"/>
            </w:tabs>
            <w:rPr>
              <w:rFonts w:eastAsiaTheme="minorEastAsia"/>
              <w:sz w:val="22"/>
              <w:szCs w:val="22"/>
              <w:lang w:eastAsia="en-AU"/>
            </w:rPr>
          </w:pPr>
          <w:hyperlink w:anchor="_Toc17104653" w:history="1">
            <w:r w:rsidR="007F15E7" w:rsidRPr="008029B9">
              <w:rPr>
                <w:rStyle w:val="Hyperlink"/>
                <w:lang w:eastAsia="en-AU"/>
              </w:rPr>
              <w:t>49.</w:t>
            </w:r>
            <w:r w:rsidR="007F15E7">
              <w:rPr>
                <w:rFonts w:eastAsiaTheme="minorEastAsia"/>
                <w:sz w:val="22"/>
                <w:szCs w:val="22"/>
                <w:lang w:eastAsia="en-AU"/>
              </w:rPr>
              <w:tab/>
            </w:r>
            <w:r w:rsidR="007F15E7" w:rsidRPr="008029B9">
              <w:rPr>
                <w:rStyle w:val="Hyperlink"/>
                <w:lang w:eastAsia="en-AU"/>
              </w:rPr>
              <w:t xml:space="preserve">Duties of a </w:t>
            </w:r>
            <w:r w:rsidR="007F15E7" w:rsidRPr="008029B9">
              <w:rPr>
                <w:rStyle w:val="Hyperlink"/>
              </w:rPr>
              <w:t>person</w:t>
            </w:r>
            <w:r w:rsidR="007F15E7" w:rsidRPr="008029B9">
              <w:rPr>
                <w:rStyle w:val="Hyperlink"/>
                <w:lang w:eastAsia="en-AU"/>
              </w:rPr>
              <w:t xml:space="preserve"> conducting a business or undertaking involving the management or control of plant – Design life</w:t>
            </w:r>
            <w:r w:rsidR="007F15E7">
              <w:rPr>
                <w:webHidden/>
              </w:rPr>
              <w:tab/>
            </w:r>
            <w:r w:rsidR="007F15E7">
              <w:rPr>
                <w:webHidden/>
              </w:rPr>
              <w:fldChar w:fldCharType="begin"/>
            </w:r>
            <w:r w:rsidR="007F15E7">
              <w:rPr>
                <w:webHidden/>
              </w:rPr>
              <w:instrText xml:space="preserve"> PAGEREF _Toc17104653 \h </w:instrText>
            </w:r>
            <w:r w:rsidR="007F15E7">
              <w:rPr>
                <w:webHidden/>
              </w:rPr>
            </w:r>
            <w:r w:rsidR="007F15E7">
              <w:rPr>
                <w:webHidden/>
              </w:rPr>
              <w:fldChar w:fldCharType="separate"/>
            </w:r>
            <w:r w:rsidR="007F15E7">
              <w:rPr>
                <w:webHidden/>
              </w:rPr>
              <w:t>23</w:t>
            </w:r>
            <w:r w:rsidR="007F15E7">
              <w:rPr>
                <w:webHidden/>
              </w:rPr>
              <w:fldChar w:fldCharType="end"/>
            </w:r>
          </w:hyperlink>
        </w:p>
        <w:p w14:paraId="20BD67F9" w14:textId="2A034F90" w:rsidR="007F15E7" w:rsidRDefault="00461F99">
          <w:pPr>
            <w:pStyle w:val="TOC2"/>
            <w:tabs>
              <w:tab w:val="left" w:pos="1701"/>
            </w:tabs>
            <w:rPr>
              <w:rFonts w:eastAsiaTheme="minorEastAsia"/>
              <w:sz w:val="22"/>
              <w:szCs w:val="22"/>
              <w:lang w:eastAsia="en-AU"/>
            </w:rPr>
          </w:pPr>
          <w:hyperlink w:anchor="_Toc17104654" w:history="1">
            <w:r w:rsidR="007F15E7" w:rsidRPr="008029B9">
              <w:rPr>
                <w:rStyle w:val="Hyperlink"/>
                <w:lang w:eastAsia="en-AU"/>
              </w:rPr>
              <w:t>50.</w:t>
            </w:r>
            <w:r w:rsidR="007F15E7">
              <w:rPr>
                <w:rFonts w:eastAsiaTheme="minorEastAsia"/>
                <w:sz w:val="22"/>
                <w:szCs w:val="22"/>
                <w:lang w:eastAsia="en-AU"/>
              </w:rPr>
              <w:tab/>
            </w:r>
            <w:r w:rsidR="007F15E7" w:rsidRPr="008029B9">
              <w:rPr>
                <w:rStyle w:val="Hyperlink"/>
                <w:lang w:eastAsia="en-AU"/>
              </w:rPr>
              <w:t xml:space="preserve">Duties of a </w:t>
            </w:r>
            <w:r w:rsidR="007F15E7" w:rsidRPr="008029B9">
              <w:rPr>
                <w:rStyle w:val="Hyperlink"/>
              </w:rPr>
              <w:t>person</w:t>
            </w:r>
            <w:r w:rsidR="007F15E7" w:rsidRPr="008029B9">
              <w:rPr>
                <w:rStyle w:val="Hyperlink"/>
                <w:lang w:eastAsia="en-AU"/>
              </w:rPr>
              <w:t xml:space="preserve"> conducting a business or undertaking involving the management or control of plant – Amusement devices</w:t>
            </w:r>
            <w:r w:rsidR="007F15E7">
              <w:rPr>
                <w:webHidden/>
              </w:rPr>
              <w:tab/>
            </w:r>
            <w:r w:rsidR="007F15E7">
              <w:rPr>
                <w:webHidden/>
              </w:rPr>
              <w:fldChar w:fldCharType="begin"/>
            </w:r>
            <w:r w:rsidR="007F15E7">
              <w:rPr>
                <w:webHidden/>
              </w:rPr>
              <w:instrText xml:space="preserve"> PAGEREF _Toc17104654 \h </w:instrText>
            </w:r>
            <w:r w:rsidR="007F15E7">
              <w:rPr>
                <w:webHidden/>
              </w:rPr>
            </w:r>
            <w:r w:rsidR="007F15E7">
              <w:rPr>
                <w:webHidden/>
              </w:rPr>
              <w:fldChar w:fldCharType="separate"/>
            </w:r>
            <w:r w:rsidR="007F15E7">
              <w:rPr>
                <w:webHidden/>
              </w:rPr>
              <w:t>23</w:t>
            </w:r>
            <w:r w:rsidR="007F15E7">
              <w:rPr>
                <w:webHidden/>
              </w:rPr>
              <w:fldChar w:fldCharType="end"/>
            </w:r>
          </w:hyperlink>
        </w:p>
        <w:p w14:paraId="1D4A8CD5" w14:textId="769C33F1" w:rsidR="007F15E7" w:rsidRDefault="00461F99">
          <w:pPr>
            <w:pStyle w:val="TOC2"/>
            <w:tabs>
              <w:tab w:val="left" w:pos="1701"/>
            </w:tabs>
            <w:rPr>
              <w:rFonts w:eastAsiaTheme="minorEastAsia"/>
              <w:sz w:val="22"/>
              <w:szCs w:val="22"/>
              <w:lang w:eastAsia="en-AU"/>
            </w:rPr>
          </w:pPr>
          <w:hyperlink w:anchor="_Toc17104655" w:history="1">
            <w:r w:rsidR="007F15E7" w:rsidRPr="008029B9">
              <w:rPr>
                <w:rStyle w:val="Hyperlink"/>
                <w:lang w:eastAsia="en-AU"/>
              </w:rPr>
              <w:t>51.</w:t>
            </w:r>
            <w:r w:rsidR="007F15E7">
              <w:rPr>
                <w:rFonts w:eastAsiaTheme="minorEastAsia"/>
                <w:sz w:val="22"/>
                <w:szCs w:val="22"/>
                <w:lang w:eastAsia="en-AU"/>
              </w:rPr>
              <w:tab/>
            </w:r>
            <w:r w:rsidR="007F15E7" w:rsidRPr="008029B9">
              <w:rPr>
                <w:rStyle w:val="Hyperlink"/>
                <w:lang w:eastAsia="en-AU"/>
              </w:rPr>
              <w:t>Altered plant designs to be registered</w:t>
            </w:r>
            <w:r w:rsidR="007F15E7">
              <w:rPr>
                <w:webHidden/>
              </w:rPr>
              <w:tab/>
            </w:r>
            <w:r w:rsidR="007F15E7">
              <w:rPr>
                <w:webHidden/>
              </w:rPr>
              <w:fldChar w:fldCharType="begin"/>
            </w:r>
            <w:r w:rsidR="007F15E7">
              <w:rPr>
                <w:webHidden/>
              </w:rPr>
              <w:instrText xml:space="preserve"> PAGEREF _Toc17104655 \h </w:instrText>
            </w:r>
            <w:r w:rsidR="007F15E7">
              <w:rPr>
                <w:webHidden/>
              </w:rPr>
            </w:r>
            <w:r w:rsidR="007F15E7">
              <w:rPr>
                <w:webHidden/>
              </w:rPr>
              <w:fldChar w:fldCharType="separate"/>
            </w:r>
            <w:r w:rsidR="007F15E7">
              <w:rPr>
                <w:webHidden/>
              </w:rPr>
              <w:t>23</w:t>
            </w:r>
            <w:r w:rsidR="007F15E7">
              <w:rPr>
                <w:webHidden/>
              </w:rPr>
              <w:fldChar w:fldCharType="end"/>
            </w:r>
          </w:hyperlink>
        </w:p>
        <w:p w14:paraId="500984E5" w14:textId="17E6C3BA" w:rsidR="007F15E7" w:rsidRDefault="00461F99">
          <w:pPr>
            <w:pStyle w:val="TOC1"/>
            <w:rPr>
              <w:rFonts w:eastAsiaTheme="minorEastAsia"/>
              <w:szCs w:val="22"/>
              <w:lang w:eastAsia="en-AU"/>
            </w:rPr>
          </w:pPr>
          <w:hyperlink w:anchor="_Toc17104656" w:history="1">
            <w:r w:rsidR="007F15E7" w:rsidRPr="008029B9">
              <w:rPr>
                <w:rStyle w:val="Hyperlink"/>
              </w:rPr>
              <w:t>Chapter Six – Construction Work</w:t>
            </w:r>
            <w:r w:rsidR="007F15E7">
              <w:rPr>
                <w:webHidden/>
              </w:rPr>
              <w:tab/>
            </w:r>
            <w:r w:rsidR="007F15E7">
              <w:rPr>
                <w:webHidden/>
              </w:rPr>
              <w:fldChar w:fldCharType="begin"/>
            </w:r>
            <w:r w:rsidR="007F15E7">
              <w:rPr>
                <w:webHidden/>
              </w:rPr>
              <w:instrText xml:space="preserve"> PAGEREF _Toc17104656 \h </w:instrText>
            </w:r>
            <w:r w:rsidR="007F15E7">
              <w:rPr>
                <w:webHidden/>
              </w:rPr>
            </w:r>
            <w:r w:rsidR="007F15E7">
              <w:rPr>
                <w:webHidden/>
              </w:rPr>
              <w:fldChar w:fldCharType="separate"/>
            </w:r>
            <w:r w:rsidR="007F15E7">
              <w:rPr>
                <w:webHidden/>
              </w:rPr>
              <w:t>23</w:t>
            </w:r>
            <w:r w:rsidR="007F15E7">
              <w:rPr>
                <w:webHidden/>
              </w:rPr>
              <w:fldChar w:fldCharType="end"/>
            </w:r>
          </w:hyperlink>
        </w:p>
        <w:p w14:paraId="183C23E7" w14:textId="770DC3B1" w:rsidR="007F15E7" w:rsidRDefault="00461F99">
          <w:pPr>
            <w:pStyle w:val="TOC2"/>
            <w:tabs>
              <w:tab w:val="left" w:pos="1701"/>
            </w:tabs>
            <w:rPr>
              <w:rFonts w:eastAsiaTheme="minorEastAsia"/>
              <w:sz w:val="22"/>
              <w:szCs w:val="22"/>
              <w:lang w:eastAsia="en-AU"/>
            </w:rPr>
          </w:pPr>
          <w:hyperlink w:anchor="_Toc17104657" w:history="1">
            <w:r w:rsidR="007F15E7" w:rsidRPr="008029B9">
              <w:rPr>
                <w:rStyle w:val="Hyperlink"/>
              </w:rPr>
              <w:t>52.</w:t>
            </w:r>
            <w:r w:rsidR="007F15E7">
              <w:rPr>
                <w:rFonts w:eastAsiaTheme="minorEastAsia"/>
                <w:sz w:val="22"/>
                <w:szCs w:val="22"/>
                <w:lang w:eastAsia="en-AU"/>
              </w:rPr>
              <w:tab/>
            </w:r>
            <w:r w:rsidR="007F15E7" w:rsidRPr="008029B9">
              <w:rPr>
                <w:rStyle w:val="Hyperlink"/>
              </w:rPr>
              <w:t>Meaning of construction work</w:t>
            </w:r>
            <w:r w:rsidR="007F15E7">
              <w:rPr>
                <w:webHidden/>
              </w:rPr>
              <w:tab/>
            </w:r>
            <w:r w:rsidR="007F15E7">
              <w:rPr>
                <w:webHidden/>
              </w:rPr>
              <w:fldChar w:fldCharType="begin"/>
            </w:r>
            <w:r w:rsidR="007F15E7">
              <w:rPr>
                <w:webHidden/>
              </w:rPr>
              <w:instrText xml:space="preserve"> PAGEREF _Toc17104657 \h </w:instrText>
            </w:r>
            <w:r w:rsidR="007F15E7">
              <w:rPr>
                <w:webHidden/>
              </w:rPr>
            </w:r>
            <w:r w:rsidR="007F15E7">
              <w:rPr>
                <w:webHidden/>
              </w:rPr>
              <w:fldChar w:fldCharType="separate"/>
            </w:r>
            <w:r w:rsidR="007F15E7">
              <w:rPr>
                <w:webHidden/>
              </w:rPr>
              <w:t>23</w:t>
            </w:r>
            <w:r w:rsidR="007F15E7">
              <w:rPr>
                <w:webHidden/>
              </w:rPr>
              <w:fldChar w:fldCharType="end"/>
            </w:r>
          </w:hyperlink>
        </w:p>
        <w:p w14:paraId="563A1F2C" w14:textId="130A0EEF" w:rsidR="007F15E7" w:rsidRDefault="00461F99">
          <w:pPr>
            <w:pStyle w:val="TOC2"/>
            <w:tabs>
              <w:tab w:val="left" w:pos="1701"/>
            </w:tabs>
            <w:rPr>
              <w:rFonts w:eastAsiaTheme="minorEastAsia"/>
              <w:sz w:val="22"/>
              <w:szCs w:val="22"/>
              <w:lang w:eastAsia="en-AU"/>
            </w:rPr>
          </w:pPr>
          <w:hyperlink w:anchor="_Toc17104658" w:history="1">
            <w:r w:rsidR="007F15E7" w:rsidRPr="008029B9">
              <w:rPr>
                <w:rStyle w:val="Hyperlink"/>
              </w:rPr>
              <w:t>53.</w:t>
            </w:r>
            <w:r w:rsidR="007F15E7">
              <w:rPr>
                <w:rFonts w:eastAsiaTheme="minorEastAsia"/>
                <w:sz w:val="22"/>
                <w:szCs w:val="22"/>
                <w:lang w:eastAsia="en-AU"/>
              </w:rPr>
              <w:tab/>
            </w:r>
            <w:r w:rsidR="007F15E7" w:rsidRPr="008029B9">
              <w:rPr>
                <w:rStyle w:val="Hyperlink"/>
              </w:rPr>
              <w:t>Meaning of high risk construction work</w:t>
            </w:r>
            <w:r w:rsidR="007F15E7">
              <w:rPr>
                <w:webHidden/>
              </w:rPr>
              <w:tab/>
            </w:r>
            <w:r w:rsidR="007F15E7">
              <w:rPr>
                <w:webHidden/>
              </w:rPr>
              <w:fldChar w:fldCharType="begin"/>
            </w:r>
            <w:r w:rsidR="007F15E7">
              <w:rPr>
                <w:webHidden/>
              </w:rPr>
              <w:instrText xml:space="preserve"> PAGEREF _Toc17104658 \h </w:instrText>
            </w:r>
            <w:r w:rsidR="007F15E7">
              <w:rPr>
                <w:webHidden/>
              </w:rPr>
            </w:r>
            <w:r w:rsidR="007F15E7">
              <w:rPr>
                <w:webHidden/>
              </w:rPr>
              <w:fldChar w:fldCharType="separate"/>
            </w:r>
            <w:r w:rsidR="007F15E7">
              <w:rPr>
                <w:webHidden/>
              </w:rPr>
              <w:t>24</w:t>
            </w:r>
            <w:r w:rsidR="007F15E7">
              <w:rPr>
                <w:webHidden/>
              </w:rPr>
              <w:fldChar w:fldCharType="end"/>
            </w:r>
          </w:hyperlink>
        </w:p>
        <w:p w14:paraId="0ECAB50D" w14:textId="0BCF70AA" w:rsidR="007F15E7" w:rsidRDefault="00461F99">
          <w:pPr>
            <w:pStyle w:val="TOC2"/>
            <w:tabs>
              <w:tab w:val="left" w:pos="1701"/>
            </w:tabs>
            <w:rPr>
              <w:rFonts w:eastAsiaTheme="minorEastAsia"/>
              <w:sz w:val="22"/>
              <w:szCs w:val="22"/>
              <w:lang w:eastAsia="en-AU"/>
            </w:rPr>
          </w:pPr>
          <w:hyperlink w:anchor="_Toc17104659" w:history="1">
            <w:r w:rsidR="007F15E7" w:rsidRPr="008029B9">
              <w:rPr>
                <w:rStyle w:val="Hyperlink"/>
              </w:rPr>
              <w:t>54.</w:t>
            </w:r>
            <w:r w:rsidR="007F15E7">
              <w:rPr>
                <w:rFonts w:eastAsiaTheme="minorEastAsia"/>
                <w:sz w:val="22"/>
                <w:szCs w:val="22"/>
                <w:lang w:eastAsia="en-AU"/>
              </w:rPr>
              <w:tab/>
            </w:r>
            <w:r w:rsidR="007F15E7" w:rsidRPr="008029B9">
              <w:rPr>
                <w:rStyle w:val="Hyperlink"/>
              </w:rPr>
              <w:t>Threshold for construction project</w:t>
            </w:r>
            <w:r w:rsidR="007F15E7">
              <w:rPr>
                <w:webHidden/>
              </w:rPr>
              <w:tab/>
            </w:r>
            <w:r w:rsidR="007F15E7">
              <w:rPr>
                <w:webHidden/>
              </w:rPr>
              <w:fldChar w:fldCharType="begin"/>
            </w:r>
            <w:r w:rsidR="007F15E7">
              <w:rPr>
                <w:webHidden/>
              </w:rPr>
              <w:instrText xml:space="preserve"> PAGEREF _Toc17104659 \h </w:instrText>
            </w:r>
            <w:r w:rsidR="007F15E7">
              <w:rPr>
                <w:webHidden/>
              </w:rPr>
            </w:r>
            <w:r w:rsidR="007F15E7">
              <w:rPr>
                <w:webHidden/>
              </w:rPr>
              <w:fldChar w:fldCharType="separate"/>
            </w:r>
            <w:r w:rsidR="007F15E7">
              <w:rPr>
                <w:webHidden/>
              </w:rPr>
              <w:t>24</w:t>
            </w:r>
            <w:r w:rsidR="007F15E7">
              <w:rPr>
                <w:webHidden/>
              </w:rPr>
              <w:fldChar w:fldCharType="end"/>
            </w:r>
          </w:hyperlink>
        </w:p>
        <w:p w14:paraId="119073F0" w14:textId="21355679" w:rsidR="007F15E7" w:rsidRDefault="00461F99">
          <w:pPr>
            <w:pStyle w:val="TOC2"/>
            <w:tabs>
              <w:tab w:val="left" w:pos="1701"/>
            </w:tabs>
            <w:rPr>
              <w:rFonts w:eastAsiaTheme="minorEastAsia"/>
              <w:sz w:val="22"/>
              <w:szCs w:val="22"/>
              <w:lang w:eastAsia="en-AU"/>
            </w:rPr>
          </w:pPr>
          <w:hyperlink w:anchor="_Toc17104660" w:history="1">
            <w:r w:rsidR="007F15E7" w:rsidRPr="008029B9">
              <w:rPr>
                <w:rStyle w:val="Hyperlink"/>
              </w:rPr>
              <w:t>55.</w:t>
            </w:r>
            <w:r w:rsidR="007F15E7">
              <w:rPr>
                <w:rFonts w:eastAsiaTheme="minorEastAsia"/>
                <w:sz w:val="22"/>
                <w:szCs w:val="22"/>
                <w:lang w:eastAsia="en-AU"/>
              </w:rPr>
              <w:tab/>
            </w:r>
            <w:r w:rsidR="007F15E7" w:rsidRPr="008029B9">
              <w:rPr>
                <w:rStyle w:val="Hyperlink"/>
              </w:rPr>
              <w:t>Tilt-up construction work – high risk construction work</w:t>
            </w:r>
            <w:r w:rsidR="007F15E7">
              <w:rPr>
                <w:webHidden/>
              </w:rPr>
              <w:tab/>
            </w:r>
            <w:r w:rsidR="007F15E7">
              <w:rPr>
                <w:webHidden/>
              </w:rPr>
              <w:fldChar w:fldCharType="begin"/>
            </w:r>
            <w:r w:rsidR="007F15E7">
              <w:rPr>
                <w:webHidden/>
              </w:rPr>
              <w:instrText xml:space="preserve"> PAGEREF _Toc17104660 \h </w:instrText>
            </w:r>
            <w:r w:rsidR="007F15E7">
              <w:rPr>
                <w:webHidden/>
              </w:rPr>
            </w:r>
            <w:r w:rsidR="007F15E7">
              <w:rPr>
                <w:webHidden/>
              </w:rPr>
              <w:fldChar w:fldCharType="separate"/>
            </w:r>
            <w:r w:rsidR="007F15E7">
              <w:rPr>
                <w:webHidden/>
              </w:rPr>
              <w:t>24</w:t>
            </w:r>
            <w:r w:rsidR="007F15E7">
              <w:rPr>
                <w:webHidden/>
              </w:rPr>
              <w:fldChar w:fldCharType="end"/>
            </w:r>
          </w:hyperlink>
        </w:p>
        <w:p w14:paraId="6DBC8B36" w14:textId="6EFE8D05" w:rsidR="007F15E7" w:rsidRDefault="00461F99">
          <w:pPr>
            <w:pStyle w:val="TOC2"/>
            <w:tabs>
              <w:tab w:val="left" w:pos="1701"/>
            </w:tabs>
            <w:rPr>
              <w:rFonts w:eastAsiaTheme="minorEastAsia"/>
              <w:sz w:val="22"/>
              <w:szCs w:val="22"/>
              <w:lang w:eastAsia="en-AU"/>
            </w:rPr>
          </w:pPr>
          <w:hyperlink w:anchor="_Toc17104661" w:history="1">
            <w:r w:rsidR="007F15E7" w:rsidRPr="008029B9">
              <w:rPr>
                <w:rStyle w:val="Hyperlink"/>
              </w:rPr>
              <w:t>56.</w:t>
            </w:r>
            <w:r w:rsidR="007F15E7">
              <w:rPr>
                <w:rFonts w:eastAsiaTheme="minorEastAsia"/>
                <w:sz w:val="22"/>
                <w:szCs w:val="22"/>
                <w:lang w:eastAsia="en-AU"/>
              </w:rPr>
              <w:tab/>
            </w:r>
            <w:r w:rsidR="007F15E7" w:rsidRPr="008029B9">
              <w:rPr>
                <w:rStyle w:val="Hyperlink"/>
              </w:rPr>
              <w:t>Tilt-up construction work – Code of Practice</w:t>
            </w:r>
            <w:r w:rsidR="007F15E7">
              <w:rPr>
                <w:webHidden/>
              </w:rPr>
              <w:tab/>
            </w:r>
            <w:r w:rsidR="007F15E7">
              <w:rPr>
                <w:webHidden/>
              </w:rPr>
              <w:fldChar w:fldCharType="begin"/>
            </w:r>
            <w:r w:rsidR="007F15E7">
              <w:rPr>
                <w:webHidden/>
              </w:rPr>
              <w:instrText xml:space="preserve"> PAGEREF _Toc17104661 \h </w:instrText>
            </w:r>
            <w:r w:rsidR="007F15E7">
              <w:rPr>
                <w:webHidden/>
              </w:rPr>
            </w:r>
            <w:r w:rsidR="007F15E7">
              <w:rPr>
                <w:webHidden/>
              </w:rPr>
              <w:fldChar w:fldCharType="separate"/>
            </w:r>
            <w:r w:rsidR="007F15E7">
              <w:rPr>
                <w:webHidden/>
              </w:rPr>
              <w:t>25</w:t>
            </w:r>
            <w:r w:rsidR="007F15E7">
              <w:rPr>
                <w:webHidden/>
              </w:rPr>
              <w:fldChar w:fldCharType="end"/>
            </w:r>
          </w:hyperlink>
        </w:p>
        <w:p w14:paraId="75358C54" w14:textId="487AE0F8" w:rsidR="007F15E7" w:rsidRDefault="00461F99">
          <w:pPr>
            <w:pStyle w:val="TOC2"/>
            <w:tabs>
              <w:tab w:val="left" w:pos="1701"/>
            </w:tabs>
            <w:rPr>
              <w:rFonts w:eastAsiaTheme="minorEastAsia"/>
              <w:sz w:val="22"/>
              <w:szCs w:val="22"/>
              <w:lang w:eastAsia="en-AU"/>
            </w:rPr>
          </w:pPr>
          <w:hyperlink w:anchor="_Toc17104662" w:history="1">
            <w:r w:rsidR="007F15E7" w:rsidRPr="008029B9">
              <w:rPr>
                <w:rStyle w:val="Hyperlink"/>
                <w:lang w:eastAsia="en-AU"/>
              </w:rPr>
              <w:t>57.</w:t>
            </w:r>
            <w:r w:rsidR="007F15E7">
              <w:rPr>
                <w:rFonts w:eastAsiaTheme="minorEastAsia"/>
                <w:sz w:val="22"/>
                <w:szCs w:val="22"/>
                <w:lang w:eastAsia="en-AU"/>
              </w:rPr>
              <w:tab/>
            </w:r>
            <w:r w:rsidR="007F15E7" w:rsidRPr="008029B9">
              <w:rPr>
                <w:rStyle w:val="Hyperlink"/>
                <w:lang w:eastAsia="en-AU"/>
              </w:rPr>
              <w:t>Additional controls - trenches</w:t>
            </w:r>
            <w:r w:rsidR="007F15E7">
              <w:rPr>
                <w:webHidden/>
              </w:rPr>
              <w:tab/>
            </w:r>
            <w:r w:rsidR="007F15E7">
              <w:rPr>
                <w:webHidden/>
              </w:rPr>
              <w:fldChar w:fldCharType="begin"/>
            </w:r>
            <w:r w:rsidR="007F15E7">
              <w:rPr>
                <w:webHidden/>
              </w:rPr>
              <w:instrText xml:space="preserve"> PAGEREF _Toc17104662 \h </w:instrText>
            </w:r>
            <w:r w:rsidR="007F15E7">
              <w:rPr>
                <w:webHidden/>
              </w:rPr>
            </w:r>
            <w:r w:rsidR="007F15E7">
              <w:rPr>
                <w:webHidden/>
              </w:rPr>
              <w:fldChar w:fldCharType="separate"/>
            </w:r>
            <w:r w:rsidR="007F15E7">
              <w:rPr>
                <w:webHidden/>
              </w:rPr>
              <w:t>25</w:t>
            </w:r>
            <w:r w:rsidR="007F15E7">
              <w:rPr>
                <w:webHidden/>
              </w:rPr>
              <w:fldChar w:fldCharType="end"/>
            </w:r>
          </w:hyperlink>
        </w:p>
        <w:p w14:paraId="22555A25" w14:textId="751287F5" w:rsidR="007F15E7" w:rsidRDefault="00461F99">
          <w:pPr>
            <w:pStyle w:val="TOC2"/>
            <w:tabs>
              <w:tab w:val="left" w:pos="1701"/>
            </w:tabs>
            <w:rPr>
              <w:rFonts w:eastAsiaTheme="minorEastAsia"/>
              <w:sz w:val="22"/>
              <w:szCs w:val="22"/>
              <w:lang w:eastAsia="en-AU"/>
            </w:rPr>
          </w:pPr>
          <w:hyperlink w:anchor="_Toc17104663" w:history="1">
            <w:r w:rsidR="007F15E7" w:rsidRPr="008029B9">
              <w:rPr>
                <w:rStyle w:val="Hyperlink"/>
              </w:rPr>
              <w:t>58.</w:t>
            </w:r>
            <w:r w:rsidR="007F15E7">
              <w:rPr>
                <w:rFonts w:eastAsiaTheme="minorEastAsia"/>
                <w:sz w:val="22"/>
                <w:szCs w:val="22"/>
                <w:lang w:eastAsia="en-AU"/>
              </w:rPr>
              <w:tab/>
            </w:r>
            <w:r w:rsidR="007F15E7" w:rsidRPr="008029B9">
              <w:rPr>
                <w:rStyle w:val="Hyperlink"/>
              </w:rPr>
              <w:t>General construction induction training</w:t>
            </w:r>
            <w:r w:rsidR="007F15E7">
              <w:rPr>
                <w:webHidden/>
              </w:rPr>
              <w:tab/>
            </w:r>
            <w:r w:rsidR="007F15E7">
              <w:rPr>
                <w:webHidden/>
              </w:rPr>
              <w:fldChar w:fldCharType="begin"/>
            </w:r>
            <w:r w:rsidR="007F15E7">
              <w:rPr>
                <w:webHidden/>
              </w:rPr>
              <w:instrText xml:space="preserve"> PAGEREF _Toc17104663 \h </w:instrText>
            </w:r>
            <w:r w:rsidR="007F15E7">
              <w:rPr>
                <w:webHidden/>
              </w:rPr>
            </w:r>
            <w:r w:rsidR="007F15E7">
              <w:rPr>
                <w:webHidden/>
              </w:rPr>
              <w:fldChar w:fldCharType="separate"/>
            </w:r>
            <w:r w:rsidR="007F15E7">
              <w:rPr>
                <w:webHidden/>
              </w:rPr>
              <w:t>25</w:t>
            </w:r>
            <w:r w:rsidR="007F15E7">
              <w:rPr>
                <w:webHidden/>
              </w:rPr>
              <w:fldChar w:fldCharType="end"/>
            </w:r>
          </w:hyperlink>
        </w:p>
        <w:p w14:paraId="3F6FF902" w14:textId="48879561" w:rsidR="007F15E7" w:rsidRDefault="00461F99">
          <w:pPr>
            <w:pStyle w:val="TOC2"/>
            <w:tabs>
              <w:tab w:val="left" w:pos="1701"/>
            </w:tabs>
            <w:rPr>
              <w:rFonts w:eastAsiaTheme="minorEastAsia"/>
              <w:sz w:val="22"/>
              <w:szCs w:val="22"/>
              <w:lang w:eastAsia="en-AU"/>
            </w:rPr>
          </w:pPr>
          <w:hyperlink w:anchor="_Toc17104664" w:history="1">
            <w:r w:rsidR="007F15E7" w:rsidRPr="008029B9">
              <w:rPr>
                <w:rStyle w:val="Hyperlink"/>
              </w:rPr>
              <w:t>59.</w:t>
            </w:r>
            <w:r w:rsidR="007F15E7">
              <w:rPr>
                <w:rFonts w:eastAsiaTheme="minorEastAsia"/>
                <w:sz w:val="22"/>
                <w:szCs w:val="22"/>
                <w:lang w:eastAsia="en-AU"/>
              </w:rPr>
              <w:tab/>
            </w:r>
            <w:r w:rsidR="007F15E7" w:rsidRPr="008029B9">
              <w:rPr>
                <w:rStyle w:val="Hyperlink"/>
              </w:rPr>
              <w:t>Local government notifications</w:t>
            </w:r>
            <w:r w:rsidR="007F15E7">
              <w:rPr>
                <w:webHidden/>
              </w:rPr>
              <w:tab/>
            </w:r>
            <w:r w:rsidR="007F15E7">
              <w:rPr>
                <w:webHidden/>
              </w:rPr>
              <w:fldChar w:fldCharType="begin"/>
            </w:r>
            <w:r w:rsidR="007F15E7">
              <w:rPr>
                <w:webHidden/>
              </w:rPr>
              <w:instrText xml:space="preserve"> PAGEREF _Toc17104664 \h </w:instrText>
            </w:r>
            <w:r w:rsidR="007F15E7">
              <w:rPr>
                <w:webHidden/>
              </w:rPr>
            </w:r>
            <w:r w:rsidR="007F15E7">
              <w:rPr>
                <w:webHidden/>
              </w:rPr>
              <w:fldChar w:fldCharType="separate"/>
            </w:r>
            <w:r w:rsidR="007F15E7">
              <w:rPr>
                <w:webHidden/>
              </w:rPr>
              <w:t>25</w:t>
            </w:r>
            <w:r w:rsidR="007F15E7">
              <w:rPr>
                <w:webHidden/>
              </w:rPr>
              <w:fldChar w:fldCharType="end"/>
            </w:r>
          </w:hyperlink>
        </w:p>
        <w:p w14:paraId="45B0AB13" w14:textId="20A24409" w:rsidR="007F15E7" w:rsidRDefault="00461F99">
          <w:pPr>
            <w:pStyle w:val="TOC1"/>
            <w:rPr>
              <w:rFonts w:eastAsiaTheme="minorEastAsia"/>
              <w:szCs w:val="22"/>
              <w:lang w:eastAsia="en-AU"/>
            </w:rPr>
          </w:pPr>
          <w:hyperlink w:anchor="_Toc17104665" w:history="1">
            <w:r w:rsidR="007F15E7" w:rsidRPr="008029B9">
              <w:rPr>
                <w:rStyle w:val="Hyperlink"/>
              </w:rPr>
              <w:t>Chapter Seven – Hazardous Chemicals</w:t>
            </w:r>
            <w:r w:rsidR="007F15E7">
              <w:rPr>
                <w:webHidden/>
              </w:rPr>
              <w:tab/>
            </w:r>
            <w:r w:rsidR="007F15E7">
              <w:rPr>
                <w:webHidden/>
              </w:rPr>
              <w:fldChar w:fldCharType="begin"/>
            </w:r>
            <w:r w:rsidR="007F15E7">
              <w:rPr>
                <w:webHidden/>
              </w:rPr>
              <w:instrText xml:space="preserve"> PAGEREF _Toc17104665 \h </w:instrText>
            </w:r>
            <w:r w:rsidR="007F15E7">
              <w:rPr>
                <w:webHidden/>
              </w:rPr>
            </w:r>
            <w:r w:rsidR="007F15E7">
              <w:rPr>
                <w:webHidden/>
              </w:rPr>
              <w:fldChar w:fldCharType="separate"/>
            </w:r>
            <w:r w:rsidR="007F15E7">
              <w:rPr>
                <w:webHidden/>
              </w:rPr>
              <w:t>26</w:t>
            </w:r>
            <w:r w:rsidR="007F15E7">
              <w:rPr>
                <w:webHidden/>
              </w:rPr>
              <w:fldChar w:fldCharType="end"/>
            </w:r>
          </w:hyperlink>
        </w:p>
        <w:p w14:paraId="259FE094" w14:textId="626B5BFC" w:rsidR="007F15E7" w:rsidRDefault="00461F99">
          <w:pPr>
            <w:pStyle w:val="TOC2"/>
            <w:tabs>
              <w:tab w:val="left" w:pos="1701"/>
            </w:tabs>
            <w:rPr>
              <w:rFonts w:eastAsiaTheme="minorEastAsia"/>
              <w:sz w:val="22"/>
              <w:szCs w:val="22"/>
              <w:lang w:eastAsia="en-AU"/>
            </w:rPr>
          </w:pPr>
          <w:hyperlink w:anchor="_Toc17104666" w:history="1">
            <w:r w:rsidR="007F15E7" w:rsidRPr="008029B9">
              <w:rPr>
                <w:rStyle w:val="Hyperlink"/>
              </w:rPr>
              <w:t>60.</w:t>
            </w:r>
            <w:r w:rsidR="007F15E7">
              <w:rPr>
                <w:rFonts w:eastAsiaTheme="minorEastAsia"/>
                <w:sz w:val="22"/>
                <w:szCs w:val="22"/>
                <w:lang w:eastAsia="en-AU"/>
              </w:rPr>
              <w:tab/>
            </w:r>
            <w:r w:rsidR="007F15E7" w:rsidRPr="008029B9">
              <w:rPr>
                <w:rStyle w:val="Hyperlink"/>
              </w:rPr>
              <w:t>Dangerous goods – relevant safety laws</w:t>
            </w:r>
            <w:r w:rsidR="007F15E7">
              <w:rPr>
                <w:webHidden/>
              </w:rPr>
              <w:tab/>
            </w:r>
            <w:r w:rsidR="007F15E7">
              <w:rPr>
                <w:webHidden/>
              </w:rPr>
              <w:fldChar w:fldCharType="begin"/>
            </w:r>
            <w:r w:rsidR="007F15E7">
              <w:rPr>
                <w:webHidden/>
              </w:rPr>
              <w:instrText xml:space="preserve"> PAGEREF _Toc17104666 \h </w:instrText>
            </w:r>
            <w:r w:rsidR="007F15E7">
              <w:rPr>
                <w:webHidden/>
              </w:rPr>
            </w:r>
            <w:r w:rsidR="007F15E7">
              <w:rPr>
                <w:webHidden/>
              </w:rPr>
              <w:fldChar w:fldCharType="separate"/>
            </w:r>
            <w:r w:rsidR="007F15E7">
              <w:rPr>
                <w:webHidden/>
              </w:rPr>
              <w:t>26</w:t>
            </w:r>
            <w:r w:rsidR="007F15E7">
              <w:rPr>
                <w:webHidden/>
              </w:rPr>
              <w:fldChar w:fldCharType="end"/>
            </w:r>
          </w:hyperlink>
        </w:p>
        <w:p w14:paraId="01775E18" w14:textId="1756CE17" w:rsidR="007F15E7" w:rsidRDefault="00461F99">
          <w:pPr>
            <w:pStyle w:val="TOC2"/>
            <w:tabs>
              <w:tab w:val="left" w:pos="1701"/>
            </w:tabs>
            <w:rPr>
              <w:rFonts w:eastAsiaTheme="minorEastAsia"/>
              <w:sz w:val="22"/>
              <w:szCs w:val="22"/>
              <w:lang w:eastAsia="en-AU"/>
            </w:rPr>
          </w:pPr>
          <w:hyperlink w:anchor="_Toc17104667" w:history="1">
            <w:r w:rsidR="007F15E7" w:rsidRPr="008029B9">
              <w:rPr>
                <w:rStyle w:val="Hyperlink"/>
              </w:rPr>
              <w:t>61.</w:t>
            </w:r>
            <w:r w:rsidR="007F15E7">
              <w:rPr>
                <w:rFonts w:eastAsiaTheme="minorEastAsia"/>
                <w:sz w:val="22"/>
                <w:szCs w:val="22"/>
                <w:lang w:eastAsia="en-AU"/>
              </w:rPr>
              <w:tab/>
            </w:r>
            <w:r w:rsidR="007F15E7" w:rsidRPr="008029B9">
              <w:rPr>
                <w:rStyle w:val="Hyperlink"/>
              </w:rPr>
              <w:t>Dangerous goods – overlap</w:t>
            </w:r>
            <w:r w:rsidR="007F15E7">
              <w:rPr>
                <w:webHidden/>
              </w:rPr>
              <w:tab/>
            </w:r>
            <w:r w:rsidR="007F15E7">
              <w:rPr>
                <w:webHidden/>
              </w:rPr>
              <w:fldChar w:fldCharType="begin"/>
            </w:r>
            <w:r w:rsidR="007F15E7">
              <w:rPr>
                <w:webHidden/>
              </w:rPr>
              <w:instrText xml:space="preserve"> PAGEREF _Toc17104667 \h </w:instrText>
            </w:r>
            <w:r w:rsidR="007F15E7">
              <w:rPr>
                <w:webHidden/>
              </w:rPr>
            </w:r>
            <w:r w:rsidR="007F15E7">
              <w:rPr>
                <w:webHidden/>
              </w:rPr>
              <w:fldChar w:fldCharType="separate"/>
            </w:r>
            <w:r w:rsidR="007F15E7">
              <w:rPr>
                <w:webHidden/>
              </w:rPr>
              <w:t>26</w:t>
            </w:r>
            <w:r w:rsidR="007F15E7">
              <w:rPr>
                <w:webHidden/>
              </w:rPr>
              <w:fldChar w:fldCharType="end"/>
            </w:r>
          </w:hyperlink>
        </w:p>
        <w:p w14:paraId="5B616767" w14:textId="4A897374" w:rsidR="007F15E7" w:rsidRDefault="00461F99">
          <w:pPr>
            <w:pStyle w:val="TOC2"/>
            <w:tabs>
              <w:tab w:val="left" w:pos="1701"/>
            </w:tabs>
            <w:rPr>
              <w:rFonts w:eastAsiaTheme="minorEastAsia"/>
              <w:sz w:val="22"/>
              <w:szCs w:val="22"/>
              <w:lang w:eastAsia="en-AU"/>
            </w:rPr>
          </w:pPr>
          <w:hyperlink w:anchor="_Toc17104668" w:history="1">
            <w:r w:rsidR="007F15E7" w:rsidRPr="008029B9">
              <w:rPr>
                <w:rStyle w:val="Hyperlink"/>
              </w:rPr>
              <w:t>62.</w:t>
            </w:r>
            <w:r w:rsidR="007F15E7">
              <w:rPr>
                <w:rFonts w:eastAsiaTheme="minorEastAsia"/>
                <w:sz w:val="22"/>
                <w:szCs w:val="22"/>
                <w:lang w:eastAsia="en-AU"/>
              </w:rPr>
              <w:tab/>
            </w:r>
            <w:r w:rsidR="007F15E7" w:rsidRPr="008029B9">
              <w:rPr>
                <w:rStyle w:val="Hyperlink"/>
              </w:rPr>
              <w:t>Classification of chemicals</w:t>
            </w:r>
            <w:r w:rsidR="007F15E7">
              <w:rPr>
                <w:webHidden/>
              </w:rPr>
              <w:tab/>
            </w:r>
            <w:r w:rsidR="007F15E7">
              <w:rPr>
                <w:webHidden/>
              </w:rPr>
              <w:fldChar w:fldCharType="begin"/>
            </w:r>
            <w:r w:rsidR="007F15E7">
              <w:rPr>
                <w:webHidden/>
              </w:rPr>
              <w:instrText xml:space="preserve"> PAGEREF _Toc17104668 \h </w:instrText>
            </w:r>
            <w:r w:rsidR="007F15E7">
              <w:rPr>
                <w:webHidden/>
              </w:rPr>
            </w:r>
            <w:r w:rsidR="007F15E7">
              <w:rPr>
                <w:webHidden/>
              </w:rPr>
              <w:fldChar w:fldCharType="separate"/>
            </w:r>
            <w:r w:rsidR="007F15E7">
              <w:rPr>
                <w:webHidden/>
              </w:rPr>
              <w:t>27</w:t>
            </w:r>
            <w:r w:rsidR="007F15E7">
              <w:rPr>
                <w:webHidden/>
              </w:rPr>
              <w:fldChar w:fldCharType="end"/>
            </w:r>
          </w:hyperlink>
        </w:p>
        <w:p w14:paraId="42C8CC76" w14:textId="35C0251F" w:rsidR="007F15E7" w:rsidRDefault="00461F99">
          <w:pPr>
            <w:pStyle w:val="TOC2"/>
            <w:tabs>
              <w:tab w:val="left" w:pos="1701"/>
            </w:tabs>
            <w:rPr>
              <w:rFonts w:eastAsiaTheme="minorEastAsia"/>
              <w:sz w:val="22"/>
              <w:szCs w:val="22"/>
              <w:lang w:eastAsia="en-AU"/>
            </w:rPr>
          </w:pPr>
          <w:hyperlink w:anchor="_Toc17104669" w:history="1">
            <w:r w:rsidR="007F15E7" w:rsidRPr="008029B9">
              <w:rPr>
                <w:rStyle w:val="Hyperlink"/>
              </w:rPr>
              <w:t>63.</w:t>
            </w:r>
            <w:r w:rsidR="007F15E7">
              <w:rPr>
                <w:rFonts w:eastAsiaTheme="minorEastAsia"/>
                <w:sz w:val="22"/>
                <w:szCs w:val="22"/>
                <w:lang w:eastAsia="en-AU"/>
              </w:rPr>
              <w:tab/>
            </w:r>
            <w:r w:rsidR="007F15E7" w:rsidRPr="008029B9">
              <w:rPr>
                <w:rStyle w:val="Hyperlink"/>
              </w:rPr>
              <w:t>Information and training in relation to chemicals</w:t>
            </w:r>
            <w:r w:rsidR="007F15E7">
              <w:rPr>
                <w:webHidden/>
              </w:rPr>
              <w:tab/>
            </w:r>
            <w:r w:rsidR="007F15E7">
              <w:rPr>
                <w:webHidden/>
              </w:rPr>
              <w:fldChar w:fldCharType="begin"/>
            </w:r>
            <w:r w:rsidR="007F15E7">
              <w:rPr>
                <w:webHidden/>
              </w:rPr>
              <w:instrText xml:space="preserve"> PAGEREF _Toc17104669 \h </w:instrText>
            </w:r>
            <w:r w:rsidR="007F15E7">
              <w:rPr>
                <w:webHidden/>
              </w:rPr>
            </w:r>
            <w:r w:rsidR="007F15E7">
              <w:rPr>
                <w:webHidden/>
              </w:rPr>
              <w:fldChar w:fldCharType="separate"/>
            </w:r>
            <w:r w:rsidR="007F15E7">
              <w:rPr>
                <w:webHidden/>
              </w:rPr>
              <w:t>27</w:t>
            </w:r>
            <w:r w:rsidR="007F15E7">
              <w:rPr>
                <w:webHidden/>
              </w:rPr>
              <w:fldChar w:fldCharType="end"/>
            </w:r>
          </w:hyperlink>
        </w:p>
        <w:p w14:paraId="2C589B57" w14:textId="4D5306BF" w:rsidR="007F15E7" w:rsidRDefault="00461F99">
          <w:pPr>
            <w:pStyle w:val="TOC2"/>
            <w:tabs>
              <w:tab w:val="left" w:pos="1701"/>
            </w:tabs>
            <w:rPr>
              <w:rFonts w:eastAsiaTheme="minorEastAsia"/>
              <w:sz w:val="22"/>
              <w:szCs w:val="22"/>
              <w:lang w:eastAsia="en-AU"/>
            </w:rPr>
          </w:pPr>
          <w:hyperlink w:anchor="_Toc17104670" w:history="1">
            <w:r w:rsidR="007F15E7" w:rsidRPr="008029B9">
              <w:rPr>
                <w:rStyle w:val="Hyperlink"/>
              </w:rPr>
              <w:t>64.</w:t>
            </w:r>
            <w:r w:rsidR="007F15E7">
              <w:rPr>
                <w:rFonts w:eastAsiaTheme="minorEastAsia"/>
                <w:sz w:val="22"/>
                <w:szCs w:val="22"/>
                <w:lang w:eastAsia="en-AU"/>
              </w:rPr>
              <w:tab/>
            </w:r>
            <w:r w:rsidR="007F15E7" w:rsidRPr="008029B9">
              <w:rPr>
                <w:rStyle w:val="Hyperlink"/>
              </w:rPr>
              <w:t>Duty to provide health monitoring</w:t>
            </w:r>
            <w:r w:rsidR="007F15E7">
              <w:rPr>
                <w:webHidden/>
              </w:rPr>
              <w:tab/>
            </w:r>
            <w:r w:rsidR="007F15E7">
              <w:rPr>
                <w:webHidden/>
              </w:rPr>
              <w:fldChar w:fldCharType="begin"/>
            </w:r>
            <w:r w:rsidR="007F15E7">
              <w:rPr>
                <w:webHidden/>
              </w:rPr>
              <w:instrText xml:space="preserve"> PAGEREF _Toc17104670 \h </w:instrText>
            </w:r>
            <w:r w:rsidR="007F15E7">
              <w:rPr>
                <w:webHidden/>
              </w:rPr>
            </w:r>
            <w:r w:rsidR="007F15E7">
              <w:rPr>
                <w:webHidden/>
              </w:rPr>
              <w:fldChar w:fldCharType="separate"/>
            </w:r>
            <w:r w:rsidR="007F15E7">
              <w:rPr>
                <w:webHidden/>
              </w:rPr>
              <w:t>27</w:t>
            </w:r>
            <w:r w:rsidR="007F15E7">
              <w:rPr>
                <w:webHidden/>
              </w:rPr>
              <w:fldChar w:fldCharType="end"/>
            </w:r>
          </w:hyperlink>
        </w:p>
        <w:p w14:paraId="5E4C3597" w14:textId="2457A5AF" w:rsidR="007F15E7" w:rsidRDefault="00461F99">
          <w:pPr>
            <w:pStyle w:val="TOC2"/>
            <w:tabs>
              <w:tab w:val="left" w:pos="1701"/>
            </w:tabs>
            <w:rPr>
              <w:rFonts w:eastAsiaTheme="minorEastAsia"/>
              <w:sz w:val="22"/>
              <w:szCs w:val="22"/>
              <w:lang w:eastAsia="en-AU"/>
            </w:rPr>
          </w:pPr>
          <w:hyperlink w:anchor="_Toc17104671" w:history="1">
            <w:r w:rsidR="007F15E7" w:rsidRPr="008029B9">
              <w:rPr>
                <w:rStyle w:val="Hyperlink"/>
              </w:rPr>
              <w:t>65.</w:t>
            </w:r>
            <w:r w:rsidR="007F15E7">
              <w:rPr>
                <w:rFonts w:eastAsiaTheme="minorEastAsia"/>
                <w:sz w:val="22"/>
                <w:szCs w:val="22"/>
                <w:lang w:eastAsia="en-AU"/>
              </w:rPr>
              <w:tab/>
            </w:r>
            <w:r w:rsidR="007F15E7" w:rsidRPr="008029B9">
              <w:rPr>
                <w:rStyle w:val="Hyperlink"/>
              </w:rPr>
              <w:t>Duty to give health monitoring report to regulator</w:t>
            </w:r>
            <w:r w:rsidR="007F15E7">
              <w:rPr>
                <w:webHidden/>
              </w:rPr>
              <w:tab/>
            </w:r>
            <w:r w:rsidR="007F15E7">
              <w:rPr>
                <w:webHidden/>
              </w:rPr>
              <w:fldChar w:fldCharType="begin"/>
            </w:r>
            <w:r w:rsidR="007F15E7">
              <w:rPr>
                <w:webHidden/>
              </w:rPr>
              <w:instrText xml:space="preserve"> PAGEREF _Toc17104671 \h </w:instrText>
            </w:r>
            <w:r w:rsidR="007F15E7">
              <w:rPr>
                <w:webHidden/>
              </w:rPr>
            </w:r>
            <w:r w:rsidR="007F15E7">
              <w:rPr>
                <w:webHidden/>
              </w:rPr>
              <w:fldChar w:fldCharType="separate"/>
            </w:r>
            <w:r w:rsidR="007F15E7">
              <w:rPr>
                <w:webHidden/>
              </w:rPr>
              <w:t>27</w:t>
            </w:r>
            <w:r w:rsidR="007F15E7">
              <w:rPr>
                <w:webHidden/>
              </w:rPr>
              <w:fldChar w:fldCharType="end"/>
            </w:r>
          </w:hyperlink>
        </w:p>
        <w:p w14:paraId="2CB0CBA8" w14:textId="3FC8FC6C" w:rsidR="007F15E7" w:rsidRDefault="00461F99">
          <w:pPr>
            <w:pStyle w:val="TOC2"/>
            <w:tabs>
              <w:tab w:val="left" w:pos="1701"/>
            </w:tabs>
            <w:rPr>
              <w:rFonts w:eastAsiaTheme="minorEastAsia"/>
              <w:sz w:val="22"/>
              <w:szCs w:val="22"/>
              <w:lang w:eastAsia="en-AU"/>
            </w:rPr>
          </w:pPr>
          <w:hyperlink w:anchor="_Toc17104672" w:history="1">
            <w:r w:rsidR="007F15E7" w:rsidRPr="008029B9">
              <w:rPr>
                <w:rStyle w:val="Hyperlink"/>
              </w:rPr>
              <w:t>66.</w:t>
            </w:r>
            <w:r w:rsidR="007F15E7">
              <w:rPr>
                <w:rFonts w:eastAsiaTheme="minorEastAsia"/>
                <w:sz w:val="22"/>
                <w:szCs w:val="22"/>
                <w:lang w:eastAsia="en-AU"/>
              </w:rPr>
              <w:tab/>
            </w:r>
            <w:r w:rsidR="007F15E7" w:rsidRPr="008029B9">
              <w:rPr>
                <w:rStyle w:val="Hyperlink"/>
              </w:rPr>
              <w:t>Duty to give health monitoring report to relevant persons conducting businesses or undertakings</w:t>
            </w:r>
            <w:r w:rsidR="007F15E7">
              <w:rPr>
                <w:webHidden/>
              </w:rPr>
              <w:tab/>
            </w:r>
            <w:r w:rsidR="007F15E7">
              <w:rPr>
                <w:webHidden/>
              </w:rPr>
              <w:fldChar w:fldCharType="begin"/>
            </w:r>
            <w:r w:rsidR="007F15E7">
              <w:rPr>
                <w:webHidden/>
              </w:rPr>
              <w:instrText xml:space="preserve"> PAGEREF _Toc17104672 \h </w:instrText>
            </w:r>
            <w:r w:rsidR="007F15E7">
              <w:rPr>
                <w:webHidden/>
              </w:rPr>
            </w:r>
            <w:r w:rsidR="007F15E7">
              <w:rPr>
                <w:webHidden/>
              </w:rPr>
              <w:fldChar w:fldCharType="separate"/>
            </w:r>
            <w:r w:rsidR="007F15E7">
              <w:rPr>
                <w:webHidden/>
              </w:rPr>
              <w:t>27</w:t>
            </w:r>
            <w:r w:rsidR="007F15E7">
              <w:rPr>
                <w:webHidden/>
              </w:rPr>
              <w:fldChar w:fldCharType="end"/>
            </w:r>
          </w:hyperlink>
        </w:p>
        <w:p w14:paraId="1581B1CB" w14:textId="4B709841" w:rsidR="007F15E7" w:rsidRDefault="00461F99">
          <w:pPr>
            <w:pStyle w:val="TOC2"/>
            <w:tabs>
              <w:tab w:val="left" w:pos="1701"/>
            </w:tabs>
            <w:rPr>
              <w:rFonts w:eastAsiaTheme="minorEastAsia"/>
              <w:sz w:val="22"/>
              <w:szCs w:val="22"/>
              <w:lang w:eastAsia="en-AU"/>
            </w:rPr>
          </w:pPr>
          <w:hyperlink w:anchor="_Toc17104673" w:history="1">
            <w:r w:rsidR="007F15E7" w:rsidRPr="008029B9">
              <w:rPr>
                <w:rStyle w:val="Hyperlink"/>
              </w:rPr>
              <w:t>67.</w:t>
            </w:r>
            <w:r w:rsidR="007F15E7">
              <w:rPr>
                <w:rFonts w:eastAsiaTheme="minorEastAsia"/>
                <w:sz w:val="22"/>
                <w:szCs w:val="22"/>
                <w:lang w:eastAsia="en-AU"/>
              </w:rPr>
              <w:tab/>
            </w:r>
            <w:r w:rsidR="007F15E7" w:rsidRPr="008029B9">
              <w:rPr>
                <w:rStyle w:val="Hyperlink"/>
              </w:rPr>
              <w:t>Using, handling and storing restricted hazardous chemicals.</w:t>
            </w:r>
            <w:r w:rsidR="007F15E7">
              <w:rPr>
                <w:webHidden/>
              </w:rPr>
              <w:tab/>
            </w:r>
            <w:r w:rsidR="007F15E7">
              <w:rPr>
                <w:webHidden/>
              </w:rPr>
              <w:fldChar w:fldCharType="begin"/>
            </w:r>
            <w:r w:rsidR="007F15E7">
              <w:rPr>
                <w:webHidden/>
              </w:rPr>
              <w:instrText xml:space="preserve"> PAGEREF _Toc17104673 \h </w:instrText>
            </w:r>
            <w:r w:rsidR="007F15E7">
              <w:rPr>
                <w:webHidden/>
              </w:rPr>
            </w:r>
            <w:r w:rsidR="007F15E7">
              <w:rPr>
                <w:webHidden/>
              </w:rPr>
              <w:fldChar w:fldCharType="separate"/>
            </w:r>
            <w:r w:rsidR="007F15E7">
              <w:rPr>
                <w:webHidden/>
              </w:rPr>
              <w:t>28</w:t>
            </w:r>
            <w:r w:rsidR="007F15E7">
              <w:rPr>
                <w:webHidden/>
              </w:rPr>
              <w:fldChar w:fldCharType="end"/>
            </w:r>
          </w:hyperlink>
        </w:p>
        <w:p w14:paraId="2B8E7058" w14:textId="4BA41B15" w:rsidR="007F15E7" w:rsidRDefault="00461F99">
          <w:pPr>
            <w:pStyle w:val="TOC2"/>
            <w:tabs>
              <w:tab w:val="left" w:pos="1701"/>
            </w:tabs>
            <w:rPr>
              <w:rFonts w:eastAsiaTheme="minorEastAsia"/>
              <w:sz w:val="22"/>
              <w:szCs w:val="22"/>
              <w:lang w:eastAsia="en-AU"/>
            </w:rPr>
          </w:pPr>
          <w:hyperlink w:anchor="_Toc17104674" w:history="1">
            <w:r w:rsidR="007F15E7" w:rsidRPr="008029B9">
              <w:rPr>
                <w:rStyle w:val="Hyperlink"/>
              </w:rPr>
              <w:t>68.</w:t>
            </w:r>
            <w:r w:rsidR="007F15E7">
              <w:rPr>
                <w:rFonts w:eastAsiaTheme="minorEastAsia"/>
                <w:sz w:val="22"/>
                <w:szCs w:val="22"/>
                <w:lang w:eastAsia="en-AU"/>
              </w:rPr>
              <w:tab/>
            </w:r>
            <w:r w:rsidR="007F15E7" w:rsidRPr="008029B9">
              <w:rPr>
                <w:rStyle w:val="Hyperlink"/>
              </w:rPr>
              <w:t>Risk assessment for hazardous substances report</w:t>
            </w:r>
            <w:r w:rsidR="007F15E7">
              <w:rPr>
                <w:webHidden/>
              </w:rPr>
              <w:tab/>
            </w:r>
            <w:r w:rsidR="007F15E7">
              <w:rPr>
                <w:webHidden/>
              </w:rPr>
              <w:fldChar w:fldCharType="begin"/>
            </w:r>
            <w:r w:rsidR="007F15E7">
              <w:rPr>
                <w:webHidden/>
              </w:rPr>
              <w:instrText xml:space="preserve"> PAGEREF _Toc17104674 \h </w:instrText>
            </w:r>
            <w:r w:rsidR="007F15E7">
              <w:rPr>
                <w:webHidden/>
              </w:rPr>
            </w:r>
            <w:r w:rsidR="007F15E7">
              <w:rPr>
                <w:webHidden/>
              </w:rPr>
              <w:fldChar w:fldCharType="separate"/>
            </w:r>
            <w:r w:rsidR="007F15E7">
              <w:rPr>
                <w:webHidden/>
              </w:rPr>
              <w:t>28</w:t>
            </w:r>
            <w:r w:rsidR="007F15E7">
              <w:rPr>
                <w:webHidden/>
              </w:rPr>
              <w:fldChar w:fldCharType="end"/>
            </w:r>
          </w:hyperlink>
        </w:p>
        <w:p w14:paraId="1278B145" w14:textId="337ABAA0" w:rsidR="007F15E7" w:rsidRDefault="00461F99">
          <w:pPr>
            <w:pStyle w:val="TOC2"/>
            <w:tabs>
              <w:tab w:val="left" w:pos="1701"/>
            </w:tabs>
            <w:rPr>
              <w:rFonts w:eastAsiaTheme="minorEastAsia"/>
              <w:sz w:val="22"/>
              <w:szCs w:val="22"/>
              <w:lang w:eastAsia="en-AU"/>
            </w:rPr>
          </w:pPr>
          <w:hyperlink w:anchor="_Toc17104675" w:history="1">
            <w:r w:rsidR="007F15E7" w:rsidRPr="008029B9">
              <w:rPr>
                <w:rStyle w:val="Hyperlink"/>
              </w:rPr>
              <w:t>69.</w:t>
            </w:r>
            <w:r w:rsidR="007F15E7">
              <w:rPr>
                <w:rFonts w:eastAsiaTheme="minorEastAsia"/>
                <w:sz w:val="22"/>
                <w:szCs w:val="22"/>
                <w:lang w:eastAsia="en-AU"/>
              </w:rPr>
              <w:tab/>
            </w:r>
            <w:r w:rsidR="007F15E7" w:rsidRPr="008029B9">
              <w:rPr>
                <w:rStyle w:val="Hyperlink"/>
              </w:rPr>
              <w:t>Notification of lead risk work</w:t>
            </w:r>
            <w:r w:rsidR="007F15E7">
              <w:rPr>
                <w:webHidden/>
              </w:rPr>
              <w:tab/>
            </w:r>
            <w:r w:rsidR="007F15E7">
              <w:rPr>
                <w:webHidden/>
              </w:rPr>
              <w:fldChar w:fldCharType="begin"/>
            </w:r>
            <w:r w:rsidR="007F15E7">
              <w:rPr>
                <w:webHidden/>
              </w:rPr>
              <w:instrText xml:space="preserve"> PAGEREF _Toc17104675 \h </w:instrText>
            </w:r>
            <w:r w:rsidR="007F15E7">
              <w:rPr>
                <w:webHidden/>
              </w:rPr>
            </w:r>
            <w:r w:rsidR="007F15E7">
              <w:rPr>
                <w:webHidden/>
              </w:rPr>
              <w:fldChar w:fldCharType="separate"/>
            </w:r>
            <w:r w:rsidR="007F15E7">
              <w:rPr>
                <w:webHidden/>
              </w:rPr>
              <w:t>28</w:t>
            </w:r>
            <w:r w:rsidR="007F15E7">
              <w:rPr>
                <w:webHidden/>
              </w:rPr>
              <w:fldChar w:fldCharType="end"/>
            </w:r>
          </w:hyperlink>
        </w:p>
        <w:p w14:paraId="3B355A9D" w14:textId="2FD78FA4" w:rsidR="007F15E7" w:rsidRDefault="00461F99">
          <w:pPr>
            <w:pStyle w:val="TOC1"/>
            <w:rPr>
              <w:rFonts w:eastAsiaTheme="minorEastAsia"/>
              <w:szCs w:val="22"/>
              <w:lang w:eastAsia="en-AU"/>
            </w:rPr>
          </w:pPr>
          <w:hyperlink w:anchor="_Toc17104676" w:history="1">
            <w:r w:rsidR="007F15E7" w:rsidRPr="008029B9">
              <w:rPr>
                <w:rStyle w:val="Hyperlink"/>
              </w:rPr>
              <w:t>Chapter Eight – Asbestos</w:t>
            </w:r>
            <w:r w:rsidR="007F15E7">
              <w:rPr>
                <w:webHidden/>
              </w:rPr>
              <w:tab/>
            </w:r>
            <w:r w:rsidR="007F15E7">
              <w:rPr>
                <w:webHidden/>
              </w:rPr>
              <w:fldChar w:fldCharType="begin"/>
            </w:r>
            <w:r w:rsidR="007F15E7">
              <w:rPr>
                <w:webHidden/>
              </w:rPr>
              <w:instrText xml:space="preserve"> PAGEREF _Toc17104676 \h </w:instrText>
            </w:r>
            <w:r w:rsidR="007F15E7">
              <w:rPr>
                <w:webHidden/>
              </w:rPr>
            </w:r>
            <w:r w:rsidR="007F15E7">
              <w:rPr>
                <w:webHidden/>
              </w:rPr>
              <w:fldChar w:fldCharType="separate"/>
            </w:r>
            <w:r w:rsidR="007F15E7">
              <w:rPr>
                <w:webHidden/>
              </w:rPr>
              <w:t>28</w:t>
            </w:r>
            <w:r w:rsidR="007F15E7">
              <w:rPr>
                <w:webHidden/>
              </w:rPr>
              <w:fldChar w:fldCharType="end"/>
            </w:r>
          </w:hyperlink>
        </w:p>
        <w:p w14:paraId="08E21BDF" w14:textId="1A61AE48" w:rsidR="007F15E7" w:rsidRDefault="00461F99">
          <w:pPr>
            <w:pStyle w:val="TOC2"/>
            <w:tabs>
              <w:tab w:val="left" w:pos="1701"/>
            </w:tabs>
            <w:rPr>
              <w:rFonts w:eastAsiaTheme="minorEastAsia"/>
              <w:sz w:val="22"/>
              <w:szCs w:val="22"/>
              <w:lang w:eastAsia="en-AU"/>
            </w:rPr>
          </w:pPr>
          <w:hyperlink w:anchor="_Toc17104677" w:history="1">
            <w:r w:rsidR="007F15E7" w:rsidRPr="008029B9">
              <w:rPr>
                <w:rStyle w:val="Hyperlink"/>
              </w:rPr>
              <w:t>70.</w:t>
            </w:r>
            <w:r w:rsidR="007F15E7">
              <w:rPr>
                <w:rFonts w:eastAsiaTheme="minorEastAsia"/>
                <w:sz w:val="22"/>
                <w:szCs w:val="22"/>
                <w:lang w:eastAsia="en-AU"/>
              </w:rPr>
              <w:tab/>
            </w:r>
            <w:r w:rsidR="007F15E7" w:rsidRPr="008029B9">
              <w:rPr>
                <w:rStyle w:val="Hyperlink"/>
              </w:rPr>
              <w:t>Work involving asbestos or ACM – prohibitions and exceptions</w:t>
            </w:r>
            <w:r w:rsidR="007F15E7">
              <w:rPr>
                <w:webHidden/>
              </w:rPr>
              <w:tab/>
            </w:r>
            <w:r w:rsidR="007F15E7">
              <w:rPr>
                <w:webHidden/>
              </w:rPr>
              <w:fldChar w:fldCharType="begin"/>
            </w:r>
            <w:r w:rsidR="007F15E7">
              <w:rPr>
                <w:webHidden/>
              </w:rPr>
              <w:instrText xml:space="preserve"> PAGEREF _Toc17104677 \h </w:instrText>
            </w:r>
            <w:r w:rsidR="007F15E7">
              <w:rPr>
                <w:webHidden/>
              </w:rPr>
            </w:r>
            <w:r w:rsidR="007F15E7">
              <w:rPr>
                <w:webHidden/>
              </w:rPr>
              <w:fldChar w:fldCharType="separate"/>
            </w:r>
            <w:r w:rsidR="007F15E7">
              <w:rPr>
                <w:webHidden/>
              </w:rPr>
              <w:t>28</w:t>
            </w:r>
            <w:r w:rsidR="007F15E7">
              <w:rPr>
                <w:webHidden/>
              </w:rPr>
              <w:fldChar w:fldCharType="end"/>
            </w:r>
          </w:hyperlink>
        </w:p>
        <w:p w14:paraId="6553DD87" w14:textId="46427538" w:rsidR="007F15E7" w:rsidRDefault="00461F99">
          <w:pPr>
            <w:pStyle w:val="TOC2"/>
            <w:tabs>
              <w:tab w:val="left" w:pos="1701"/>
            </w:tabs>
            <w:rPr>
              <w:rFonts w:eastAsiaTheme="minorEastAsia"/>
              <w:sz w:val="22"/>
              <w:szCs w:val="22"/>
              <w:lang w:eastAsia="en-AU"/>
            </w:rPr>
          </w:pPr>
          <w:hyperlink w:anchor="_Toc17104678" w:history="1">
            <w:r w:rsidR="007F15E7" w:rsidRPr="008029B9">
              <w:rPr>
                <w:rStyle w:val="Hyperlink"/>
              </w:rPr>
              <w:t>71.</w:t>
            </w:r>
            <w:r w:rsidR="007F15E7">
              <w:rPr>
                <w:rFonts w:eastAsiaTheme="minorEastAsia"/>
                <w:sz w:val="22"/>
                <w:szCs w:val="22"/>
                <w:lang w:eastAsia="en-AU"/>
              </w:rPr>
              <w:tab/>
            </w:r>
            <w:r w:rsidR="007F15E7" w:rsidRPr="008029B9">
              <w:rPr>
                <w:rStyle w:val="Hyperlink"/>
              </w:rPr>
              <w:t>Work involving asbestos or ACM – changes</w:t>
            </w:r>
            <w:r w:rsidR="007F15E7">
              <w:rPr>
                <w:webHidden/>
              </w:rPr>
              <w:tab/>
            </w:r>
            <w:r w:rsidR="007F15E7">
              <w:rPr>
                <w:webHidden/>
              </w:rPr>
              <w:fldChar w:fldCharType="begin"/>
            </w:r>
            <w:r w:rsidR="007F15E7">
              <w:rPr>
                <w:webHidden/>
              </w:rPr>
              <w:instrText xml:space="preserve"> PAGEREF _Toc17104678 \h </w:instrText>
            </w:r>
            <w:r w:rsidR="007F15E7">
              <w:rPr>
                <w:webHidden/>
              </w:rPr>
            </w:r>
            <w:r w:rsidR="007F15E7">
              <w:rPr>
                <w:webHidden/>
              </w:rPr>
              <w:fldChar w:fldCharType="separate"/>
            </w:r>
            <w:r w:rsidR="007F15E7">
              <w:rPr>
                <w:webHidden/>
              </w:rPr>
              <w:t>28</w:t>
            </w:r>
            <w:r w:rsidR="007F15E7">
              <w:rPr>
                <w:webHidden/>
              </w:rPr>
              <w:fldChar w:fldCharType="end"/>
            </w:r>
          </w:hyperlink>
        </w:p>
        <w:p w14:paraId="5D6661A0" w14:textId="25C87959" w:rsidR="007F15E7" w:rsidRDefault="00461F99">
          <w:pPr>
            <w:pStyle w:val="TOC2"/>
            <w:tabs>
              <w:tab w:val="left" w:pos="1701"/>
            </w:tabs>
            <w:rPr>
              <w:rFonts w:eastAsiaTheme="minorEastAsia"/>
              <w:sz w:val="22"/>
              <w:szCs w:val="22"/>
              <w:lang w:eastAsia="en-AU"/>
            </w:rPr>
          </w:pPr>
          <w:hyperlink w:anchor="_Toc17104679" w:history="1">
            <w:r w:rsidR="007F15E7" w:rsidRPr="008029B9">
              <w:rPr>
                <w:rStyle w:val="Hyperlink"/>
              </w:rPr>
              <w:t>72.</w:t>
            </w:r>
            <w:r w:rsidR="007F15E7">
              <w:rPr>
                <w:rFonts w:eastAsiaTheme="minorEastAsia"/>
                <w:sz w:val="22"/>
                <w:szCs w:val="22"/>
                <w:lang w:eastAsia="en-AU"/>
              </w:rPr>
              <w:tab/>
            </w:r>
            <w:r w:rsidR="007F15E7" w:rsidRPr="008029B9">
              <w:rPr>
                <w:rStyle w:val="Hyperlink"/>
              </w:rPr>
              <w:t>Asbestos Removal Work</w:t>
            </w:r>
            <w:r w:rsidR="007F15E7">
              <w:rPr>
                <w:webHidden/>
              </w:rPr>
              <w:tab/>
            </w:r>
            <w:r w:rsidR="007F15E7">
              <w:rPr>
                <w:webHidden/>
              </w:rPr>
              <w:fldChar w:fldCharType="begin"/>
            </w:r>
            <w:r w:rsidR="007F15E7">
              <w:rPr>
                <w:webHidden/>
              </w:rPr>
              <w:instrText xml:space="preserve"> PAGEREF _Toc17104679 \h </w:instrText>
            </w:r>
            <w:r w:rsidR="007F15E7">
              <w:rPr>
                <w:webHidden/>
              </w:rPr>
            </w:r>
            <w:r w:rsidR="007F15E7">
              <w:rPr>
                <w:webHidden/>
              </w:rPr>
              <w:fldChar w:fldCharType="separate"/>
            </w:r>
            <w:r w:rsidR="007F15E7">
              <w:rPr>
                <w:webHidden/>
              </w:rPr>
              <w:t>29</w:t>
            </w:r>
            <w:r w:rsidR="007F15E7">
              <w:rPr>
                <w:webHidden/>
              </w:rPr>
              <w:fldChar w:fldCharType="end"/>
            </w:r>
          </w:hyperlink>
        </w:p>
        <w:p w14:paraId="3BBC324F" w14:textId="46717F07" w:rsidR="007F15E7" w:rsidRDefault="00461F99">
          <w:pPr>
            <w:pStyle w:val="TOC2"/>
            <w:tabs>
              <w:tab w:val="left" w:pos="1701"/>
            </w:tabs>
            <w:rPr>
              <w:rFonts w:eastAsiaTheme="minorEastAsia"/>
              <w:sz w:val="22"/>
              <w:szCs w:val="22"/>
              <w:lang w:eastAsia="en-AU"/>
            </w:rPr>
          </w:pPr>
          <w:hyperlink w:anchor="_Toc17104680" w:history="1">
            <w:r w:rsidR="007F15E7" w:rsidRPr="008029B9">
              <w:rPr>
                <w:rStyle w:val="Hyperlink"/>
              </w:rPr>
              <w:t>73.</w:t>
            </w:r>
            <w:r w:rsidR="007F15E7">
              <w:rPr>
                <w:rFonts w:eastAsiaTheme="minorEastAsia"/>
                <w:sz w:val="22"/>
                <w:szCs w:val="22"/>
                <w:lang w:eastAsia="en-AU"/>
              </w:rPr>
              <w:tab/>
            </w:r>
            <w:r w:rsidR="007F15E7" w:rsidRPr="008029B9">
              <w:rPr>
                <w:rStyle w:val="Hyperlink"/>
              </w:rPr>
              <w:t>Work involving asbestos or ACM – Training courses</w:t>
            </w:r>
            <w:r w:rsidR="007F15E7">
              <w:rPr>
                <w:webHidden/>
              </w:rPr>
              <w:tab/>
            </w:r>
            <w:r w:rsidR="007F15E7">
              <w:rPr>
                <w:webHidden/>
              </w:rPr>
              <w:fldChar w:fldCharType="begin"/>
            </w:r>
            <w:r w:rsidR="007F15E7">
              <w:rPr>
                <w:webHidden/>
              </w:rPr>
              <w:instrText xml:space="preserve"> PAGEREF _Toc17104680 \h </w:instrText>
            </w:r>
            <w:r w:rsidR="007F15E7">
              <w:rPr>
                <w:webHidden/>
              </w:rPr>
            </w:r>
            <w:r w:rsidR="007F15E7">
              <w:rPr>
                <w:webHidden/>
              </w:rPr>
              <w:fldChar w:fldCharType="separate"/>
            </w:r>
            <w:r w:rsidR="007F15E7">
              <w:rPr>
                <w:webHidden/>
              </w:rPr>
              <w:t>29</w:t>
            </w:r>
            <w:r w:rsidR="007F15E7">
              <w:rPr>
                <w:webHidden/>
              </w:rPr>
              <w:fldChar w:fldCharType="end"/>
            </w:r>
          </w:hyperlink>
        </w:p>
        <w:p w14:paraId="3DE2CBDA" w14:textId="7D7A61F6" w:rsidR="007F15E7" w:rsidRDefault="00461F99">
          <w:pPr>
            <w:pStyle w:val="TOC2"/>
            <w:tabs>
              <w:tab w:val="left" w:pos="1701"/>
            </w:tabs>
            <w:rPr>
              <w:rFonts w:eastAsiaTheme="minorEastAsia"/>
              <w:sz w:val="22"/>
              <w:szCs w:val="22"/>
              <w:lang w:eastAsia="en-AU"/>
            </w:rPr>
          </w:pPr>
          <w:hyperlink w:anchor="_Toc17104681" w:history="1">
            <w:r w:rsidR="007F15E7" w:rsidRPr="008029B9">
              <w:rPr>
                <w:rStyle w:val="Hyperlink"/>
              </w:rPr>
              <w:t>74.</w:t>
            </w:r>
            <w:r w:rsidR="007F15E7">
              <w:rPr>
                <w:rFonts w:eastAsiaTheme="minorEastAsia"/>
                <w:sz w:val="22"/>
                <w:szCs w:val="22"/>
                <w:lang w:eastAsia="en-AU"/>
              </w:rPr>
              <w:tab/>
            </w:r>
            <w:r w:rsidR="007F15E7" w:rsidRPr="008029B9">
              <w:rPr>
                <w:rStyle w:val="Hyperlink"/>
              </w:rPr>
              <w:t>Certified safety management systems</w:t>
            </w:r>
            <w:r w:rsidR="007F15E7">
              <w:rPr>
                <w:webHidden/>
              </w:rPr>
              <w:tab/>
            </w:r>
            <w:r w:rsidR="007F15E7">
              <w:rPr>
                <w:webHidden/>
              </w:rPr>
              <w:fldChar w:fldCharType="begin"/>
            </w:r>
            <w:r w:rsidR="007F15E7">
              <w:rPr>
                <w:webHidden/>
              </w:rPr>
              <w:instrText xml:space="preserve"> PAGEREF _Toc17104681 \h </w:instrText>
            </w:r>
            <w:r w:rsidR="007F15E7">
              <w:rPr>
                <w:webHidden/>
              </w:rPr>
            </w:r>
            <w:r w:rsidR="007F15E7">
              <w:rPr>
                <w:webHidden/>
              </w:rPr>
              <w:fldChar w:fldCharType="separate"/>
            </w:r>
            <w:r w:rsidR="007F15E7">
              <w:rPr>
                <w:webHidden/>
              </w:rPr>
              <w:t>29</w:t>
            </w:r>
            <w:r w:rsidR="007F15E7">
              <w:rPr>
                <w:webHidden/>
              </w:rPr>
              <w:fldChar w:fldCharType="end"/>
            </w:r>
          </w:hyperlink>
        </w:p>
        <w:p w14:paraId="40B34B27" w14:textId="2AE99884" w:rsidR="007F15E7" w:rsidRDefault="00461F99">
          <w:pPr>
            <w:pStyle w:val="TOC2"/>
            <w:tabs>
              <w:tab w:val="left" w:pos="1701"/>
            </w:tabs>
            <w:rPr>
              <w:rFonts w:eastAsiaTheme="minorEastAsia"/>
              <w:sz w:val="22"/>
              <w:szCs w:val="22"/>
              <w:lang w:eastAsia="en-AU"/>
            </w:rPr>
          </w:pPr>
          <w:hyperlink w:anchor="_Toc17104682" w:history="1">
            <w:r w:rsidR="007F15E7" w:rsidRPr="008029B9">
              <w:rPr>
                <w:rStyle w:val="Hyperlink"/>
              </w:rPr>
              <w:t>75.</w:t>
            </w:r>
            <w:r w:rsidR="007F15E7">
              <w:rPr>
                <w:rFonts w:eastAsiaTheme="minorEastAsia"/>
                <w:sz w:val="22"/>
                <w:szCs w:val="22"/>
                <w:lang w:eastAsia="en-AU"/>
              </w:rPr>
              <w:tab/>
            </w:r>
            <w:r w:rsidR="007F15E7" w:rsidRPr="008029B9">
              <w:rPr>
                <w:rStyle w:val="Hyperlink"/>
              </w:rPr>
              <w:t>Licensed asbestos assessors</w:t>
            </w:r>
            <w:r w:rsidR="007F15E7">
              <w:rPr>
                <w:webHidden/>
              </w:rPr>
              <w:tab/>
            </w:r>
            <w:r w:rsidR="007F15E7">
              <w:rPr>
                <w:webHidden/>
              </w:rPr>
              <w:fldChar w:fldCharType="begin"/>
            </w:r>
            <w:r w:rsidR="007F15E7">
              <w:rPr>
                <w:webHidden/>
              </w:rPr>
              <w:instrText xml:space="preserve"> PAGEREF _Toc17104682 \h </w:instrText>
            </w:r>
            <w:r w:rsidR="007F15E7">
              <w:rPr>
                <w:webHidden/>
              </w:rPr>
            </w:r>
            <w:r w:rsidR="007F15E7">
              <w:rPr>
                <w:webHidden/>
              </w:rPr>
              <w:fldChar w:fldCharType="separate"/>
            </w:r>
            <w:r w:rsidR="007F15E7">
              <w:rPr>
                <w:webHidden/>
              </w:rPr>
              <w:t>30</w:t>
            </w:r>
            <w:r w:rsidR="007F15E7">
              <w:rPr>
                <w:webHidden/>
              </w:rPr>
              <w:fldChar w:fldCharType="end"/>
            </w:r>
          </w:hyperlink>
        </w:p>
        <w:p w14:paraId="3956F2A8" w14:textId="79D9C534" w:rsidR="007F15E7" w:rsidRDefault="00461F99">
          <w:pPr>
            <w:pStyle w:val="TOC2"/>
            <w:tabs>
              <w:tab w:val="left" w:pos="1701"/>
            </w:tabs>
            <w:rPr>
              <w:rFonts w:eastAsiaTheme="minorEastAsia"/>
              <w:sz w:val="22"/>
              <w:szCs w:val="22"/>
              <w:lang w:eastAsia="en-AU"/>
            </w:rPr>
          </w:pPr>
          <w:hyperlink w:anchor="_Toc17104683" w:history="1">
            <w:r w:rsidR="007F15E7" w:rsidRPr="008029B9">
              <w:rPr>
                <w:rStyle w:val="Hyperlink"/>
                <w:lang w:eastAsia="en-AU"/>
              </w:rPr>
              <w:t>76.</w:t>
            </w:r>
            <w:r w:rsidR="007F15E7">
              <w:rPr>
                <w:rFonts w:eastAsiaTheme="minorEastAsia"/>
                <w:sz w:val="22"/>
                <w:szCs w:val="22"/>
                <w:lang w:eastAsia="en-AU"/>
              </w:rPr>
              <w:tab/>
            </w:r>
            <w:r w:rsidR="007F15E7" w:rsidRPr="008029B9">
              <w:rPr>
                <w:rStyle w:val="Hyperlink"/>
                <w:lang w:eastAsia="en-AU"/>
              </w:rPr>
              <w:t>Asbestos registers - threshold date</w:t>
            </w:r>
            <w:r w:rsidR="007F15E7">
              <w:rPr>
                <w:webHidden/>
              </w:rPr>
              <w:tab/>
            </w:r>
            <w:r w:rsidR="007F15E7">
              <w:rPr>
                <w:webHidden/>
              </w:rPr>
              <w:fldChar w:fldCharType="begin"/>
            </w:r>
            <w:r w:rsidR="007F15E7">
              <w:rPr>
                <w:webHidden/>
              </w:rPr>
              <w:instrText xml:space="preserve"> PAGEREF _Toc17104683 \h </w:instrText>
            </w:r>
            <w:r w:rsidR="007F15E7">
              <w:rPr>
                <w:webHidden/>
              </w:rPr>
            </w:r>
            <w:r w:rsidR="007F15E7">
              <w:rPr>
                <w:webHidden/>
              </w:rPr>
              <w:fldChar w:fldCharType="separate"/>
            </w:r>
            <w:r w:rsidR="007F15E7">
              <w:rPr>
                <w:webHidden/>
              </w:rPr>
              <w:t>30</w:t>
            </w:r>
            <w:r w:rsidR="007F15E7">
              <w:rPr>
                <w:webHidden/>
              </w:rPr>
              <w:fldChar w:fldCharType="end"/>
            </w:r>
          </w:hyperlink>
        </w:p>
        <w:p w14:paraId="57A7E88D" w14:textId="61385EA2" w:rsidR="007F15E7" w:rsidRDefault="00461F99">
          <w:pPr>
            <w:pStyle w:val="TOC2"/>
            <w:tabs>
              <w:tab w:val="left" w:pos="1701"/>
            </w:tabs>
            <w:rPr>
              <w:rFonts w:eastAsiaTheme="minorEastAsia"/>
              <w:sz w:val="22"/>
              <w:szCs w:val="22"/>
              <w:lang w:eastAsia="en-AU"/>
            </w:rPr>
          </w:pPr>
          <w:hyperlink w:anchor="_Toc17104684" w:history="1">
            <w:r w:rsidR="007F15E7" w:rsidRPr="008029B9">
              <w:rPr>
                <w:rStyle w:val="Hyperlink"/>
                <w:lang w:eastAsia="en-AU"/>
              </w:rPr>
              <w:t>77.</w:t>
            </w:r>
            <w:r w:rsidR="007F15E7">
              <w:rPr>
                <w:rFonts w:eastAsiaTheme="minorEastAsia"/>
                <w:sz w:val="22"/>
                <w:szCs w:val="22"/>
                <w:lang w:eastAsia="en-AU"/>
              </w:rPr>
              <w:tab/>
            </w:r>
            <w:r w:rsidR="007F15E7" w:rsidRPr="008029B9">
              <w:rPr>
                <w:rStyle w:val="Hyperlink"/>
                <w:lang w:eastAsia="en-AU"/>
              </w:rPr>
              <w:t>Asbestos registers – copy required</w:t>
            </w:r>
            <w:r w:rsidR="007F15E7">
              <w:rPr>
                <w:webHidden/>
              </w:rPr>
              <w:tab/>
            </w:r>
            <w:r w:rsidR="007F15E7">
              <w:rPr>
                <w:webHidden/>
              </w:rPr>
              <w:fldChar w:fldCharType="begin"/>
            </w:r>
            <w:r w:rsidR="007F15E7">
              <w:rPr>
                <w:webHidden/>
              </w:rPr>
              <w:instrText xml:space="preserve"> PAGEREF _Toc17104684 \h </w:instrText>
            </w:r>
            <w:r w:rsidR="007F15E7">
              <w:rPr>
                <w:webHidden/>
              </w:rPr>
            </w:r>
            <w:r w:rsidR="007F15E7">
              <w:rPr>
                <w:webHidden/>
              </w:rPr>
              <w:fldChar w:fldCharType="separate"/>
            </w:r>
            <w:r w:rsidR="007F15E7">
              <w:rPr>
                <w:webHidden/>
              </w:rPr>
              <w:t>30</w:t>
            </w:r>
            <w:r w:rsidR="007F15E7">
              <w:rPr>
                <w:webHidden/>
              </w:rPr>
              <w:fldChar w:fldCharType="end"/>
            </w:r>
          </w:hyperlink>
        </w:p>
        <w:p w14:paraId="5F915B0A" w14:textId="24D8C34C" w:rsidR="007F15E7" w:rsidRDefault="00461F99">
          <w:pPr>
            <w:pStyle w:val="TOC2"/>
            <w:tabs>
              <w:tab w:val="left" w:pos="1701"/>
            </w:tabs>
            <w:rPr>
              <w:rFonts w:eastAsiaTheme="minorEastAsia"/>
              <w:sz w:val="22"/>
              <w:szCs w:val="22"/>
              <w:lang w:eastAsia="en-AU"/>
            </w:rPr>
          </w:pPr>
          <w:hyperlink w:anchor="_Toc17104685" w:history="1">
            <w:r w:rsidR="007F15E7" w:rsidRPr="008029B9">
              <w:rPr>
                <w:rStyle w:val="Hyperlink"/>
                <w:lang w:eastAsia="en-AU"/>
              </w:rPr>
              <w:t>78.</w:t>
            </w:r>
            <w:r w:rsidR="007F15E7">
              <w:rPr>
                <w:rFonts w:eastAsiaTheme="minorEastAsia"/>
                <w:sz w:val="22"/>
                <w:szCs w:val="22"/>
                <w:lang w:eastAsia="en-AU"/>
              </w:rPr>
              <w:tab/>
            </w:r>
            <w:r w:rsidR="007F15E7" w:rsidRPr="008029B9">
              <w:rPr>
                <w:rStyle w:val="Hyperlink"/>
                <w:lang w:eastAsia="en-AU"/>
              </w:rPr>
              <w:t>Asbestos - Decontamination facilities</w:t>
            </w:r>
            <w:r w:rsidR="007F15E7">
              <w:rPr>
                <w:webHidden/>
              </w:rPr>
              <w:tab/>
            </w:r>
            <w:r w:rsidR="007F15E7">
              <w:rPr>
                <w:webHidden/>
              </w:rPr>
              <w:fldChar w:fldCharType="begin"/>
            </w:r>
            <w:r w:rsidR="007F15E7">
              <w:rPr>
                <w:webHidden/>
              </w:rPr>
              <w:instrText xml:space="preserve"> PAGEREF _Toc17104685 \h </w:instrText>
            </w:r>
            <w:r w:rsidR="007F15E7">
              <w:rPr>
                <w:webHidden/>
              </w:rPr>
            </w:r>
            <w:r w:rsidR="007F15E7">
              <w:rPr>
                <w:webHidden/>
              </w:rPr>
              <w:fldChar w:fldCharType="separate"/>
            </w:r>
            <w:r w:rsidR="007F15E7">
              <w:rPr>
                <w:webHidden/>
              </w:rPr>
              <w:t>31</w:t>
            </w:r>
            <w:r w:rsidR="007F15E7">
              <w:rPr>
                <w:webHidden/>
              </w:rPr>
              <w:fldChar w:fldCharType="end"/>
            </w:r>
          </w:hyperlink>
        </w:p>
        <w:p w14:paraId="665E6519" w14:textId="394F7E34" w:rsidR="007F15E7" w:rsidRDefault="00461F99">
          <w:pPr>
            <w:pStyle w:val="TOC2"/>
            <w:tabs>
              <w:tab w:val="left" w:pos="1701"/>
            </w:tabs>
            <w:rPr>
              <w:rFonts w:eastAsiaTheme="minorEastAsia"/>
              <w:sz w:val="22"/>
              <w:szCs w:val="22"/>
              <w:lang w:eastAsia="en-AU"/>
            </w:rPr>
          </w:pPr>
          <w:hyperlink w:anchor="_Toc17104686" w:history="1">
            <w:r w:rsidR="007F15E7" w:rsidRPr="008029B9">
              <w:rPr>
                <w:rStyle w:val="Hyperlink"/>
              </w:rPr>
              <w:t>79.</w:t>
            </w:r>
            <w:r w:rsidR="007F15E7">
              <w:rPr>
                <w:rFonts w:eastAsiaTheme="minorEastAsia"/>
                <w:sz w:val="22"/>
                <w:szCs w:val="22"/>
                <w:lang w:eastAsia="en-AU"/>
              </w:rPr>
              <w:tab/>
            </w:r>
            <w:r w:rsidR="007F15E7" w:rsidRPr="008029B9">
              <w:rPr>
                <w:rStyle w:val="Hyperlink"/>
              </w:rPr>
              <w:t>Exception for trace amounts of asbestos</w:t>
            </w:r>
            <w:r w:rsidR="007F15E7">
              <w:rPr>
                <w:webHidden/>
              </w:rPr>
              <w:tab/>
            </w:r>
            <w:r w:rsidR="007F15E7">
              <w:rPr>
                <w:webHidden/>
              </w:rPr>
              <w:fldChar w:fldCharType="begin"/>
            </w:r>
            <w:r w:rsidR="007F15E7">
              <w:rPr>
                <w:webHidden/>
              </w:rPr>
              <w:instrText xml:space="preserve"> PAGEREF _Toc17104686 \h </w:instrText>
            </w:r>
            <w:r w:rsidR="007F15E7">
              <w:rPr>
                <w:webHidden/>
              </w:rPr>
            </w:r>
            <w:r w:rsidR="007F15E7">
              <w:rPr>
                <w:webHidden/>
              </w:rPr>
              <w:fldChar w:fldCharType="separate"/>
            </w:r>
            <w:r w:rsidR="007F15E7">
              <w:rPr>
                <w:webHidden/>
              </w:rPr>
              <w:t>31</w:t>
            </w:r>
            <w:r w:rsidR="007F15E7">
              <w:rPr>
                <w:webHidden/>
              </w:rPr>
              <w:fldChar w:fldCharType="end"/>
            </w:r>
          </w:hyperlink>
        </w:p>
        <w:p w14:paraId="4E596173" w14:textId="0330C212" w:rsidR="007F15E7" w:rsidRDefault="00461F99">
          <w:pPr>
            <w:pStyle w:val="TOC2"/>
            <w:tabs>
              <w:tab w:val="left" w:pos="1701"/>
            </w:tabs>
            <w:rPr>
              <w:rFonts w:eastAsiaTheme="minorEastAsia"/>
              <w:sz w:val="22"/>
              <w:szCs w:val="22"/>
              <w:lang w:eastAsia="en-AU"/>
            </w:rPr>
          </w:pPr>
          <w:hyperlink w:anchor="_Toc17104687" w:history="1">
            <w:r w:rsidR="007F15E7" w:rsidRPr="008029B9">
              <w:rPr>
                <w:rStyle w:val="Hyperlink"/>
              </w:rPr>
              <w:t>80.</w:t>
            </w:r>
            <w:r w:rsidR="007F15E7">
              <w:rPr>
                <w:rFonts w:eastAsiaTheme="minorEastAsia"/>
                <w:sz w:val="22"/>
                <w:szCs w:val="22"/>
                <w:lang w:eastAsia="en-AU"/>
              </w:rPr>
              <w:tab/>
            </w:r>
            <w:r w:rsidR="007F15E7" w:rsidRPr="008029B9">
              <w:rPr>
                <w:rStyle w:val="Hyperlink"/>
              </w:rPr>
              <w:t>Laboratories that can be used to test asbestos</w:t>
            </w:r>
            <w:r w:rsidR="007F15E7">
              <w:rPr>
                <w:webHidden/>
              </w:rPr>
              <w:tab/>
            </w:r>
            <w:r w:rsidR="007F15E7">
              <w:rPr>
                <w:webHidden/>
              </w:rPr>
              <w:fldChar w:fldCharType="begin"/>
            </w:r>
            <w:r w:rsidR="007F15E7">
              <w:rPr>
                <w:webHidden/>
              </w:rPr>
              <w:instrText xml:space="preserve"> PAGEREF _Toc17104687 \h </w:instrText>
            </w:r>
            <w:r w:rsidR="007F15E7">
              <w:rPr>
                <w:webHidden/>
              </w:rPr>
            </w:r>
            <w:r w:rsidR="007F15E7">
              <w:rPr>
                <w:webHidden/>
              </w:rPr>
              <w:fldChar w:fldCharType="separate"/>
            </w:r>
            <w:r w:rsidR="007F15E7">
              <w:rPr>
                <w:webHidden/>
              </w:rPr>
              <w:t>31</w:t>
            </w:r>
            <w:r w:rsidR="007F15E7">
              <w:rPr>
                <w:webHidden/>
              </w:rPr>
              <w:fldChar w:fldCharType="end"/>
            </w:r>
          </w:hyperlink>
        </w:p>
        <w:p w14:paraId="55FC4BCC" w14:textId="46AB867F" w:rsidR="007F15E7" w:rsidRDefault="00461F99">
          <w:pPr>
            <w:pStyle w:val="TOC2"/>
            <w:tabs>
              <w:tab w:val="left" w:pos="1701"/>
            </w:tabs>
            <w:rPr>
              <w:rFonts w:eastAsiaTheme="minorEastAsia"/>
              <w:sz w:val="22"/>
              <w:szCs w:val="22"/>
              <w:lang w:eastAsia="en-AU"/>
            </w:rPr>
          </w:pPr>
          <w:hyperlink w:anchor="_Toc17104688" w:history="1">
            <w:r w:rsidR="007F15E7" w:rsidRPr="008029B9">
              <w:rPr>
                <w:rStyle w:val="Hyperlink"/>
              </w:rPr>
              <w:t>81.</w:t>
            </w:r>
            <w:r w:rsidR="007F15E7">
              <w:rPr>
                <w:rFonts w:eastAsiaTheme="minorEastAsia"/>
                <w:sz w:val="22"/>
                <w:szCs w:val="22"/>
                <w:lang w:eastAsia="en-AU"/>
              </w:rPr>
              <w:tab/>
            </w:r>
            <w:r w:rsidR="007F15E7" w:rsidRPr="008029B9">
              <w:rPr>
                <w:rStyle w:val="Hyperlink"/>
              </w:rPr>
              <w:t>Asbestos removal control plan</w:t>
            </w:r>
            <w:r w:rsidR="007F15E7">
              <w:rPr>
                <w:webHidden/>
              </w:rPr>
              <w:tab/>
            </w:r>
            <w:r w:rsidR="007F15E7">
              <w:rPr>
                <w:webHidden/>
              </w:rPr>
              <w:fldChar w:fldCharType="begin"/>
            </w:r>
            <w:r w:rsidR="007F15E7">
              <w:rPr>
                <w:webHidden/>
              </w:rPr>
              <w:instrText xml:space="preserve"> PAGEREF _Toc17104688 \h </w:instrText>
            </w:r>
            <w:r w:rsidR="007F15E7">
              <w:rPr>
                <w:webHidden/>
              </w:rPr>
            </w:r>
            <w:r w:rsidR="007F15E7">
              <w:rPr>
                <w:webHidden/>
              </w:rPr>
              <w:fldChar w:fldCharType="separate"/>
            </w:r>
            <w:r w:rsidR="007F15E7">
              <w:rPr>
                <w:webHidden/>
              </w:rPr>
              <w:t>31</w:t>
            </w:r>
            <w:r w:rsidR="007F15E7">
              <w:rPr>
                <w:webHidden/>
              </w:rPr>
              <w:fldChar w:fldCharType="end"/>
            </w:r>
          </w:hyperlink>
        </w:p>
        <w:p w14:paraId="4AF4B4D7" w14:textId="22371253" w:rsidR="007F15E7" w:rsidRDefault="00461F99">
          <w:pPr>
            <w:pStyle w:val="TOC2"/>
            <w:tabs>
              <w:tab w:val="left" w:pos="1701"/>
            </w:tabs>
            <w:rPr>
              <w:rFonts w:eastAsiaTheme="minorEastAsia"/>
              <w:sz w:val="22"/>
              <w:szCs w:val="22"/>
              <w:lang w:eastAsia="en-AU"/>
            </w:rPr>
          </w:pPr>
          <w:hyperlink w:anchor="_Toc17104689" w:history="1">
            <w:r w:rsidR="007F15E7" w:rsidRPr="008029B9">
              <w:rPr>
                <w:rStyle w:val="Hyperlink"/>
              </w:rPr>
              <w:t>82.</w:t>
            </w:r>
            <w:r w:rsidR="007F15E7">
              <w:rPr>
                <w:rFonts w:eastAsiaTheme="minorEastAsia"/>
                <w:sz w:val="22"/>
                <w:szCs w:val="22"/>
                <w:lang w:eastAsia="en-AU"/>
              </w:rPr>
              <w:tab/>
            </w:r>
            <w:r w:rsidR="007F15E7" w:rsidRPr="008029B9">
              <w:rPr>
                <w:rStyle w:val="Hyperlink"/>
              </w:rPr>
              <w:t>Notifications – Unrestricted asbestos removal work</w:t>
            </w:r>
            <w:r w:rsidR="007F15E7">
              <w:rPr>
                <w:webHidden/>
              </w:rPr>
              <w:tab/>
            </w:r>
            <w:r w:rsidR="007F15E7">
              <w:rPr>
                <w:webHidden/>
              </w:rPr>
              <w:fldChar w:fldCharType="begin"/>
            </w:r>
            <w:r w:rsidR="007F15E7">
              <w:rPr>
                <w:webHidden/>
              </w:rPr>
              <w:instrText xml:space="preserve"> PAGEREF _Toc17104689 \h </w:instrText>
            </w:r>
            <w:r w:rsidR="007F15E7">
              <w:rPr>
                <w:webHidden/>
              </w:rPr>
            </w:r>
            <w:r w:rsidR="007F15E7">
              <w:rPr>
                <w:webHidden/>
              </w:rPr>
              <w:fldChar w:fldCharType="separate"/>
            </w:r>
            <w:r w:rsidR="007F15E7">
              <w:rPr>
                <w:webHidden/>
              </w:rPr>
              <w:t>32</w:t>
            </w:r>
            <w:r w:rsidR="007F15E7">
              <w:rPr>
                <w:webHidden/>
              </w:rPr>
              <w:fldChar w:fldCharType="end"/>
            </w:r>
          </w:hyperlink>
        </w:p>
        <w:p w14:paraId="28CA6CE1" w14:textId="0336DFD9" w:rsidR="007F15E7" w:rsidRDefault="00461F99">
          <w:pPr>
            <w:pStyle w:val="TOC2"/>
            <w:tabs>
              <w:tab w:val="left" w:pos="1701"/>
            </w:tabs>
            <w:rPr>
              <w:rFonts w:eastAsiaTheme="minorEastAsia"/>
              <w:sz w:val="22"/>
              <w:szCs w:val="22"/>
              <w:lang w:eastAsia="en-AU"/>
            </w:rPr>
          </w:pPr>
          <w:hyperlink w:anchor="_Toc17104690" w:history="1">
            <w:r w:rsidR="007F15E7" w:rsidRPr="008029B9">
              <w:rPr>
                <w:rStyle w:val="Hyperlink"/>
              </w:rPr>
              <w:t>83.</w:t>
            </w:r>
            <w:r w:rsidR="007F15E7">
              <w:rPr>
                <w:rFonts w:eastAsiaTheme="minorEastAsia"/>
                <w:sz w:val="22"/>
                <w:szCs w:val="22"/>
                <w:lang w:eastAsia="en-AU"/>
              </w:rPr>
              <w:tab/>
            </w:r>
            <w:r w:rsidR="007F15E7" w:rsidRPr="008029B9">
              <w:rPr>
                <w:rStyle w:val="Hyperlink"/>
              </w:rPr>
              <w:t>Notifications – Threshold to advise regulator of respirable asbestos fibres</w:t>
            </w:r>
            <w:r w:rsidR="007F15E7">
              <w:rPr>
                <w:webHidden/>
              </w:rPr>
              <w:tab/>
            </w:r>
            <w:r w:rsidR="007F15E7">
              <w:rPr>
                <w:webHidden/>
              </w:rPr>
              <w:fldChar w:fldCharType="begin"/>
            </w:r>
            <w:r w:rsidR="007F15E7">
              <w:rPr>
                <w:webHidden/>
              </w:rPr>
              <w:instrText xml:space="preserve"> PAGEREF _Toc17104690 \h </w:instrText>
            </w:r>
            <w:r w:rsidR="007F15E7">
              <w:rPr>
                <w:webHidden/>
              </w:rPr>
            </w:r>
            <w:r w:rsidR="007F15E7">
              <w:rPr>
                <w:webHidden/>
              </w:rPr>
              <w:fldChar w:fldCharType="separate"/>
            </w:r>
            <w:r w:rsidR="007F15E7">
              <w:rPr>
                <w:webHidden/>
              </w:rPr>
              <w:t>32</w:t>
            </w:r>
            <w:r w:rsidR="007F15E7">
              <w:rPr>
                <w:webHidden/>
              </w:rPr>
              <w:fldChar w:fldCharType="end"/>
            </w:r>
          </w:hyperlink>
        </w:p>
        <w:p w14:paraId="78BFC63B" w14:textId="1BDFACF2" w:rsidR="007F15E7" w:rsidRDefault="00461F99">
          <w:pPr>
            <w:pStyle w:val="TOC2"/>
            <w:tabs>
              <w:tab w:val="left" w:pos="1701"/>
            </w:tabs>
            <w:rPr>
              <w:rFonts w:eastAsiaTheme="minorEastAsia"/>
              <w:sz w:val="22"/>
              <w:szCs w:val="22"/>
              <w:lang w:eastAsia="en-AU"/>
            </w:rPr>
          </w:pPr>
          <w:hyperlink w:anchor="_Toc17104691" w:history="1">
            <w:r w:rsidR="007F15E7" w:rsidRPr="008029B9">
              <w:rPr>
                <w:rStyle w:val="Hyperlink"/>
                <w:lang w:eastAsia="en-AU"/>
              </w:rPr>
              <w:t>84.</w:t>
            </w:r>
            <w:r w:rsidR="007F15E7">
              <w:rPr>
                <w:rFonts w:eastAsiaTheme="minorEastAsia"/>
                <w:sz w:val="22"/>
                <w:szCs w:val="22"/>
                <w:lang w:eastAsia="en-AU"/>
              </w:rPr>
              <w:tab/>
            </w:r>
            <w:r w:rsidR="007F15E7" w:rsidRPr="008029B9">
              <w:rPr>
                <w:rStyle w:val="Hyperlink"/>
                <w:lang w:eastAsia="en-AU"/>
              </w:rPr>
              <w:t>Informing persons in the immediate vicinity</w:t>
            </w:r>
            <w:r w:rsidR="007F15E7">
              <w:rPr>
                <w:webHidden/>
              </w:rPr>
              <w:tab/>
            </w:r>
            <w:r w:rsidR="007F15E7">
              <w:rPr>
                <w:webHidden/>
              </w:rPr>
              <w:fldChar w:fldCharType="begin"/>
            </w:r>
            <w:r w:rsidR="007F15E7">
              <w:rPr>
                <w:webHidden/>
              </w:rPr>
              <w:instrText xml:space="preserve"> PAGEREF _Toc17104691 \h </w:instrText>
            </w:r>
            <w:r w:rsidR="007F15E7">
              <w:rPr>
                <w:webHidden/>
              </w:rPr>
            </w:r>
            <w:r w:rsidR="007F15E7">
              <w:rPr>
                <w:webHidden/>
              </w:rPr>
              <w:fldChar w:fldCharType="separate"/>
            </w:r>
            <w:r w:rsidR="007F15E7">
              <w:rPr>
                <w:webHidden/>
              </w:rPr>
              <w:t>32</w:t>
            </w:r>
            <w:r w:rsidR="007F15E7">
              <w:rPr>
                <w:webHidden/>
              </w:rPr>
              <w:fldChar w:fldCharType="end"/>
            </w:r>
          </w:hyperlink>
        </w:p>
        <w:p w14:paraId="7024C51C" w14:textId="09045619" w:rsidR="007F15E7" w:rsidRDefault="00461F99">
          <w:pPr>
            <w:pStyle w:val="TOC2"/>
            <w:tabs>
              <w:tab w:val="left" w:pos="1701"/>
            </w:tabs>
            <w:rPr>
              <w:rFonts w:eastAsiaTheme="minorEastAsia"/>
              <w:sz w:val="22"/>
              <w:szCs w:val="22"/>
              <w:lang w:eastAsia="en-AU"/>
            </w:rPr>
          </w:pPr>
          <w:hyperlink w:anchor="_Toc17104692" w:history="1">
            <w:r w:rsidR="007F15E7" w:rsidRPr="008029B9">
              <w:rPr>
                <w:rStyle w:val="Hyperlink"/>
                <w:lang w:eastAsia="en-AU"/>
              </w:rPr>
              <w:t>85.</w:t>
            </w:r>
            <w:r w:rsidR="007F15E7">
              <w:rPr>
                <w:rFonts w:eastAsiaTheme="minorEastAsia"/>
                <w:sz w:val="22"/>
                <w:szCs w:val="22"/>
                <w:lang w:eastAsia="en-AU"/>
              </w:rPr>
              <w:tab/>
            </w:r>
            <w:r w:rsidR="007F15E7" w:rsidRPr="008029B9">
              <w:rPr>
                <w:rStyle w:val="Hyperlink"/>
                <w:lang w:eastAsia="en-AU"/>
              </w:rPr>
              <w:t>Disposing of asbestos waste and contaminated personal protective equipment</w:t>
            </w:r>
            <w:r w:rsidR="007F15E7">
              <w:rPr>
                <w:webHidden/>
              </w:rPr>
              <w:tab/>
            </w:r>
            <w:r w:rsidR="007F15E7">
              <w:rPr>
                <w:webHidden/>
              </w:rPr>
              <w:fldChar w:fldCharType="begin"/>
            </w:r>
            <w:r w:rsidR="007F15E7">
              <w:rPr>
                <w:webHidden/>
              </w:rPr>
              <w:instrText xml:space="preserve"> PAGEREF _Toc17104692 \h </w:instrText>
            </w:r>
            <w:r w:rsidR="007F15E7">
              <w:rPr>
                <w:webHidden/>
              </w:rPr>
            </w:r>
            <w:r w:rsidR="007F15E7">
              <w:rPr>
                <w:webHidden/>
              </w:rPr>
              <w:fldChar w:fldCharType="separate"/>
            </w:r>
            <w:r w:rsidR="007F15E7">
              <w:rPr>
                <w:webHidden/>
              </w:rPr>
              <w:t>32</w:t>
            </w:r>
            <w:r w:rsidR="007F15E7">
              <w:rPr>
                <w:webHidden/>
              </w:rPr>
              <w:fldChar w:fldCharType="end"/>
            </w:r>
          </w:hyperlink>
        </w:p>
        <w:p w14:paraId="4DAAB0CB" w14:textId="283311DF" w:rsidR="007F15E7" w:rsidRDefault="00461F99">
          <w:pPr>
            <w:pStyle w:val="TOC1"/>
            <w:rPr>
              <w:rFonts w:eastAsiaTheme="minorEastAsia"/>
              <w:szCs w:val="22"/>
              <w:lang w:eastAsia="en-AU"/>
            </w:rPr>
          </w:pPr>
          <w:hyperlink w:anchor="_Toc17104693" w:history="1">
            <w:r w:rsidR="007F15E7" w:rsidRPr="008029B9">
              <w:rPr>
                <w:rStyle w:val="Hyperlink"/>
              </w:rPr>
              <w:t>Chapter Nine – Major Hazard Facilities</w:t>
            </w:r>
            <w:r w:rsidR="007F15E7">
              <w:rPr>
                <w:webHidden/>
              </w:rPr>
              <w:tab/>
            </w:r>
            <w:r w:rsidR="007F15E7">
              <w:rPr>
                <w:webHidden/>
              </w:rPr>
              <w:fldChar w:fldCharType="begin"/>
            </w:r>
            <w:r w:rsidR="007F15E7">
              <w:rPr>
                <w:webHidden/>
              </w:rPr>
              <w:instrText xml:space="preserve"> PAGEREF _Toc17104693 \h </w:instrText>
            </w:r>
            <w:r w:rsidR="007F15E7">
              <w:rPr>
                <w:webHidden/>
              </w:rPr>
            </w:r>
            <w:r w:rsidR="007F15E7">
              <w:rPr>
                <w:webHidden/>
              </w:rPr>
              <w:fldChar w:fldCharType="separate"/>
            </w:r>
            <w:r w:rsidR="007F15E7">
              <w:rPr>
                <w:webHidden/>
              </w:rPr>
              <w:t>32</w:t>
            </w:r>
            <w:r w:rsidR="007F15E7">
              <w:rPr>
                <w:webHidden/>
              </w:rPr>
              <w:fldChar w:fldCharType="end"/>
            </w:r>
          </w:hyperlink>
        </w:p>
        <w:p w14:paraId="284D2BB2" w14:textId="5BF47D0A" w:rsidR="007F15E7" w:rsidRDefault="00461F99">
          <w:pPr>
            <w:pStyle w:val="TOC1"/>
            <w:rPr>
              <w:rFonts w:eastAsiaTheme="minorEastAsia"/>
              <w:szCs w:val="22"/>
              <w:lang w:eastAsia="en-AU"/>
            </w:rPr>
          </w:pPr>
          <w:hyperlink w:anchor="_Toc17104694" w:history="1">
            <w:r w:rsidR="007F15E7" w:rsidRPr="008029B9">
              <w:rPr>
                <w:rStyle w:val="Hyperlink"/>
              </w:rPr>
              <w:t>Chapter Ten – Mines</w:t>
            </w:r>
            <w:r w:rsidR="007F15E7">
              <w:rPr>
                <w:webHidden/>
              </w:rPr>
              <w:tab/>
            </w:r>
            <w:r w:rsidR="007F15E7">
              <w:rPr>
                <w:webHidden/>
              </w:rPr>
              <w:fldChar w:fldCharType="begin"/>
            </w:r>
            <w:r w:rsidR="007F15E7">
              <w:rPr>
                <w:webHidden/>
              </w:rPr>
              <w:instrText xml:space="preserve"> PAGEREF _Toc17104694 \h </w:instrText>
            </w:r>
            <w:r w:rsidR="007F15E7">
              <w:rPr>
                <w:webHidden/>
              </w:rPr>
            </w:r>
            <w:r w:rsidR="007F15E7">
              <w:rPr>
                <w:webHidden/>
              </w:rPr>
              <w:fldChar w:fldCharType="separate"/>
            </w:r>
            <w:r w:rsidR="007F15E7">
              <w:rPr>
                <w:webHidden/>
              </w:rPr>
              <w:t>33</w:t>
            </w:r>
            <w:r w:rsidR="007F15E7">
              <w:rPr>
                <w:webHidden/>
              </w:rPr>
              <w:fldChar w:fldCharType="end"/>
            </w:r>
          </w:hyperlink>
        </w:p>
        <w:p w14:paraId="33921E3C" w14:textId="0FD7CBC6" w:rsidR="007F15E7" w:rsidRDefault="00461F99">
          <w:pPr>
            <w:pStyle w:val="TOC1"/>
            <w:rPr>
              <w:rFonts w:eastAsiaTheme="minorEastAsia"/>
              <w:szCs w:val="22"/>
              <w:lang w:eastAsia="en-AU"/>
            </w:rPr>
          </w:pPr>
          <w:hyperlink w:anchor="_Toc17104695" w:history="1">
            <w:r w:rsidR="007F15E7" w:rsidRPr="008029B9">
              <w:rPr>
                <w:rStyle w:val="Hyperlink"/>
              </w:rPr>
              <w:t>Chapter 11 – General</w:t>
            </w:r>
            <w:r w:rsidR="007F15E7">
              <w:rPr>
                <w:webHidden/>
              </w:rPr>
              <w:tab/>
            </w:r>
            <w:r w:rsidR="007F15E7">
              <w:rPr>
                <w:webHidden/>
              </w:rPr>
              <w:fldChar w:fldCharType="begin"/>
            </w:r>
            <w:r w:rsidR="007F15E7">
              <w:rPr>
                <w:webHidden/>
              </w:rPr>
              <w:instrText xml:space="preserve"> PAGEREF _Toc17104695 \h </w:instrText>
            </w:r>
            <w:r w:rsidR="007F15E7">
              <w:rPr>
                <w:webHidden/>
              </w:rPr>
            </w:r>
            <w:r w:rsidR="007F15E7">
              <w:rPr>
                <w:webHidden/>
              </w:rPr>
              <w:fldChar w:fldCharType="separate"/>
            </w:r>
            <w:r w:rsidR="007F15E7">
              <w:rPr>
                <w:webHidden/>
              </w:rPr>
              <w:t>33</w:t>
            </w:r>
            <w:r w:rsidR="007F15E7">
              <w:rPr>
                <w:webHidden/>
              </w:rPr>
              <w:fldChar w:fldCharType="end"/>
            </w:r>
          </w:hyperlink>
        </w:p>
        <w:p w14:paraId="079EC415" w14:textId="6461642B" w:rsidR="007F15E7" w:rsidRDefault="00461F99">
          <w:pPr>
            <w:pStyle w:val="TOC2"/>
            <w:tabs>
              <w:tab w:val="left" w:pos="1701"/>
            </w:tabs>
            <w:rPr>
              <w:rFonts w:eastAsiaTheme="minorEastAsia"/>
              <w:sz w:val="22"/>
              <w:szCs w:val="22"/>
              <w:lang w:eastAsia="en-AU"/>
            </w:rPr>
          </w:pPr>
          <w:hyperlink w:anchor="_Toc17104696" w:history="1">
            <w:r w:rsidR="007F15E7" w:rsidRPr="008029B9">
              <w:rPr>
                <w:rStyle w:val="Hyperlink"/>
                <w:lang w:eastAsia="en-AU"/>
              </w:rPr>
              <w:t>86.</w:t>
            </w:r>
            <w:r w:rsidR="007F15E7">
              <w:rPr>
                <w:rFonts w:eastAsiaTheme="minorEastAsia"/>
                <w:sz w:val="22"/>
                <w:szCs w:val="22"/>
                <w:lang w:eastAsia="en-AU"/>
              </w:rPr>
              <w:tab/>
            </w:r>
            <w:r w:rsidR="007F15E7" w:rsidRPr="008029B9">
              <w:rPr>
                <w:rStyle w:val="Hyperlink"/>
                <w:lang w:eastAsia="en-AU"/>
              </w:rPr>
              <w:t>Which decisions under these Regulations are reviewable</w:t>
            </w:r>
            <w:r w:rsidR="007F15E7">
              <w:rPr>
                <w:webHidden/>
              </w:rPr>
              <w:tab/>
            </w:r>
            <w:r w:rsidR="007F15E7">
              <w:rPr>
                <w:webHidden/>
              </w:rPr>
              <w:fldChar w:fldCharType="begin"/>
            </w:r>
            <w:r w:rsidR="007F15E7">
              <w:rPr>
                <w:webHidden/>
              </w:rPr>
              <w:instrText xml:space="preserve"> PAGEREF _Toc17104696 \h </w:instrText>
            </w:r>
            <w:r w:rsidR="007F15E7">
              <w:rPr>
                <w:webHidden/>
              </w:rPr>
            </w:r>
            <w:r w:rsidR="007F15E7">
              <w:rPr>
                <w:webHidden/>
              </w:rPr>
              <w:fldChar w:fldCharType="separate"/>
            </w:r>
            <w:r w:rsidR="007F15E7">
              <w:rPr>
                <w:webHidden/>
              </w:rPr>
              <w:t>33</w:t>
            </w:r>
            <w:r w:rsidR="007F15E7">
              <w:rPr>
                <w:webHidden/>
              </w:rPr>
              <w:fldChar w:fldCharType="end"/>
            </w:r>
          </w:hyperlink>
        </w:p>
        <w:p w14:paraId="70D51CC3" w14:textId="76B776A7" w:rsidR="007F15E7" w:rsidRDefault="00461F99">
          <w:pPr>
            <w:pStyle w:val="TOC2"/>
            <w:tabs>
              <w:tab w:val="left" w:pos="1701"/>
            </w:tabs>
            <w:rPr>
              <w:rFonts w:eastAsiaTheme="minorEastAsia"/>
              <w:sz w:val="22"/>
              <w:szCs w:val="22"/>
              <w:lang w:eastAsia="en-AU"/>
            </w:rPr>
          </w:pPr>
          <w:hyperlink w:anchor="_Toc17104697" w:history="1">
            <w:r w:rsidR="007F15E7" w:rsidRPr="008029B9">
              <w:rPr>
                <w:rStyle w:val="Hyperlink"/>
                <w:lang w:eastAsia="en-AU"/>
              </w:rPr>
              <w:t>87.</w:t>
            </w:r>
            <w:r w:rsidR="007F15E7">
              <w:rPr>
                <w:rFonts w:eastAsiaTheme="minorEastAsia"/>
                <w:sz w:val="22"/>
                <w:szCs w:val="22"/>
                <w:lang w:eastAsia="en-AU"/>
              </w:rPr>
              <w:tab/>
            </w:r>
            <w:r w:rsidR="007F15E7" w:rsidRPr="008029B9">
              <w:rPr>
                <w:rStyle w:val="Hyperlink"/>
                <w:lang w:eastAsia="en-AU"/>
              </w:rPr>
              <w:t>Review of decisions under the Act – stay of decision</w:t>
            </w:r>
            <w:r w:rsidR="007F15E7">
              <w:rPr>
                <w:webHidden/>
              </w:rPr>
              <w:tab/>
            </w:r>
            <w:r w:rsidR="007F15E7">
              <w:rPr>
                <w:webHidden/>
              </w:rPr>
              <w:fldChar w:fldCharType="begin"/>
            </w:r>
            <w:r w:rsidR="007F15E7">
              <w:rPr>
                <w:webHidden/>
              </w:rPr>
              <w:instrText xml:space="preserve"> PAGEREF _Toc17104697 \h </w:instrText>
            </w:r>
            <w:r w:rsidR="007F15E7">
              <w:rPr>
                <w:webHidden/>
              </w:rPr>
            </w:r>
            <w:r w:rsidR="007F15E7">
              <w:rPr>
                <w:webHidden/>
              </w:rPr>
              <w:fldChar w:fldCharType="separate"/>
            </w:r>
            <w:r w:rsidR="007F15E7">
              <w:rPr>
                <w:webHidden/>
              </w:rPr>
              <w:t>33</w:t>
            </w:r>
            <w:r w:rsidR="007F15E7">
              <w:rPr>
                <w:webHidden/>
              </w:rPr>
              <w:fldChar w:fldCharType="end"/>
            </w:r>
          </w:hyperlink>
        </w:p>
        <w:p w14:paraId="3ABD5B74" w14:textId="58FF0D84" w:rsidR="007F15E7" w:rsidRDefault="00461F99">
          <w:pPr>
            <w:pStyle w:val="TOC2"/>
            <w:tabs>
              <w:tab w:val="left" w:pos="1701"/>
            </w:tabs>
            <w:rPr>
              <w:rFonts w:eastAsiaTheme="minorEastAsia"/>
              <w:sz w:val="22"/>
              <w:szCs w:val="22"/>
              <w:lang w:eastAsia="en-AU"/>
            </w:rPr>
          </w:pPr>
          <w:hyperlink w:anchor="_Toc17104698" w:history="1">
            <w:r w:rsidR="007F15E7" w:rsidRPr="008029B9">
              <w:rPr>
                <w:rStyle w:val="Hyperlink"/>
                <w:lang w:eastAsia="en-AU"/>
              </w:rPr>
              <w:t>88.</w:t>
            </w:r>
            <w:r w:rsidR="007F15E7">
              <w:rPr>
                <w:rFonts w:eastAsiaTheme="minorEastAsia"/>
                <w:sz w:val="22"/>
                <w:szCs w:val="22"/>
                <w:lang w:eastAsia="en-AU"/>
              </w:rPr>
              <w:tab/>
            </w:r>
            <w:r w:rsidR="007F15E7" w:rsidRPr="008029B9">
              <w:rPr>
                <w:rStyle w:val="Hyperlink"/>
                <w:lang w:eastAsia="en-AU"/>
              </w:rPr>
              <w:t>Confidentiality of information – exception relating administration or enforcement of other laws</w:t>
            </w:r>
            <w:r w:rsidR="007F15E7">
              <w:rPr>
                <w:webHidden/>
              </w:rPr>
              <w:tab/>
            </w:r>
            <w:r w:rsidR="007F15E7">
              <w:rPr>
                <w:webHidden/>
              </w:rPr>
              <w:fldChar w:fldCharType="begin"/>
            </w:r>
            <w:r w:rsidR="007F15E7">
              <w:rPr>
                <w:webHidden/>
              </w:rPr>
              <w:instrText xml:space="preserve"> PAGEREF _Toc17104698 \h </w:instrText>
            </w:r>
            <w:r w:rsidR="007F15E7">
              <w:rPr>
                <w:webHidden/>
              </w:rPr>
            </w:r>
            <w:r w:rsidR="007F15E7">
              <w:rPr>
                <w:webHidden/>
              </w:rPr>
              <w:fldChar w:fldCharType="separate"/>
            </w:r>
            <w:r w:rsidR="007F15E7">
              <w:rPr>
                <w:webHidden/>
              </w:rPr>
              <w:t>33</w:t>
            </w:r>
            <w:r w:rsidR="007F15E7">
              <w:rPr>
                <w:webHidden/>
              </w:rPr>
              <w:fldChar w:fldCharType="end"/>
            </w:r>
          </w:hyperlink>
        </w:p>
        <w:p w14:paraId="0D6A394D" w14:textId="7B3CB30B" w:rsidR="007F15E7" w:rsidRDefault="00461F99">
          <w:pPr>
            <w:pStyle w:val="TOC2"/>
            <w:tabs>
              <w:tab w:val="left" w:pos="1701"/>
            </w:tabs>
            <w:rPr>
              <w:rFonts w:eastAsiaTheme="minorEastAsia"/>
              <w:sz w:val="22"/>
              <w:szCs w:val="22"/>
              <w:lang w:eastAsia="en-AU"/>
            </w:rPr>
          </w:pPr>
          <w:hyperlink w:anchor="_Toc17104699" w:history="1">
            <w:r w:rsidR="007F15E7" w:rsidRPr="008029B9">
              <w:rPr>
                <w:rStyle w:val="Hyperlink"/>
                <w:lang w:eastAsia="en-AU"/>
              </w:rPr>
              <w:t>89.</w:t>
            </w:r>
            <w:r w:rsidR="007F15E7">
              <w:rPr>
                <w:rFonts w:eastAsiaTheme="minorEastAsia"/>
                <w:sz w:val="22"/>
                <w:szCs w:val="22"/>
                <w:lang w:eastAsia="en-AU"/>
              </w:rPr>
              <w:tab/>
            </w:r>
            <w:r w:rsidR="007F15E7" w:rsidRPr="008029B9">
              <w:rPr>
                <w:rStyle w:val="Hyperlink"/>
                <w:lang w:eastAsia="en-AU"/>
              </w:rPr>
              <w:t>Publication of notices for class exemptions</w:t>
            </w:r>
            <w:r w:rsidR="007F15E7">
              <w:rPr>
                <w:webHidden/>
              </w:rPr>
              <w:tab/>
            </w:r>
            <w:r w:rsidR="007F15E7">
              <w:rPr>
                <w:webHidden/>
              </w:rPr>
              <w:fldChar w:fldCharType="begin"/>
            </w:r>
            <w:r w:rsidR="007F15E7">
              <w:rPr>
                <w:webHidden/>
              </w:rPr>
              <w:instrText xml:space="preserve"> PAGEREF _Toc17104699 \h </w:instrText>
            </w:r>
            <w:r w:rsidR="007F15E7">
              <w:rPr>
                <w:webHidden/>
              </w:rPr>
            </w:r>
            <w:r w:rsidR="007F15E7">
              <w:rPr>
                <w:webHidden/>
              </w:rPr>
              <w:fldChar w:fldCharType="separate"/>
            </w:r>
            <w:r w:rsidR="007F15E7">
              <w:rPr>
                <w:webHidden/>
              </w:rPr>
              <w:t>34</w:t>
            </w:r>
            <w:r w:rsidR="007F15E7">
              <w:rPr>
                <w:webHidden/>
              </w:rPr>
              <w:fldChar w:fldCharType="end"/>
            </w:r>
          </w:hyperlink>
        </w:p>
        <w:p w14:paraId="3F24EF60" w14:textId="1F4F11B5" w:rsidR="007F15E7" w:rsidRDefault="00461F99">
          <w:pPr>
            <w:pStyle w:val="TOC1"/>
            <w:rPr>
              <w:rFonts w:eastAsiaTheme="minorEastAsia"/>
              <w:szCs w:val="22"/>
              <w:lang w:eastAsia="en-AU"/>
            </w:rPr>
          </w:pPr>
          <w:hyperlink w:anchor="_Toc17104700" w:history="1">
            <w:r w:rsidR="007F15E7" w:rsidRPr="008029B9">
              <w:rPr>
                <w:rStyle w:val="Hyperlink"/>
              </w:rPr>
              <w:t>Record keeping</w:t>
            </w:r>
            <w:r w:rsidR="007F15E7">
              <w:rPr>
                <w:webHidden/>
              </w:rPr>
              <w:tab/>
            </w:r>
            <w:r w:rsidR="007F15E7">
              <w:rPr>
                <w:webHidden/>
              </w:rPr>
              <w:fldChar w:fldCharType="begin"/>
            </w:r>
            <w:r w:rsidR="007F15E7">
              <w:rPr>
                <w:webHidden/>
              </w:rPr>
              <w:instrText xml:space="preserve"> PAGEREF _Toc17104700 \h </w:instrText>
            </w:r>
            <w:r w:rsidR="007F15E7">
              <w:rPr>
                <w:webHidden/>
              </w:rPr>
            </w:r>
            <w:r w:rsidR="007F15E7">
              <w:rPr>
                <w:webHidden/>
              </w:rPr>
              <w:fldChar w:fldCharType="separate"/>
            </w:r>
            <w:r w:rsidR="007F15E7">
              <w:rPr>
                <w:webHidden/>
              </w:rPr>
              <w:t>34</w:t>
            </w:r>
            <w:r w:rsidR="007F15E7">
              <w:rPr>
                <w:webHidden/>
              </w:rPr>
              <w:fldChar w:fldCharType="end"/>
            </w:r>
          </w:hyperlink>
        </w:p>
        <w:p w14:paraId="07001CC1" w14:textId="520EFB0E" w:rsidR="007F15E7" w:rsidRDefault="00461F99">
          <w:pPr>
            <w:pStyle w:val="TOC2"/>
            <w:tabs>
              <w:tab w:val="left" w:pos="1701"/>
            </w:tabs>
            <w:rPr>
              <w:rFonts w:eastAsiaTheme="minorEastAsia"/>
              <w:sz w:val="22"/>
              <w:szCs w:val="22"/>
              <w:lang w:eastAsia="en-AU"/>
            </w:rPr>
          </w:pPr>
          <w:hyperlink w:anchor="_Toc17104701" w:history="1">
            <w:r w:rsidR="007F15E7" w:rsidRPr="008029B9">
              <w:rPr>
                <w:rStyle w:val="Hyperlink"/>
              </w:rPr>
              <w:t>90.</w:t>
            </w:r>
            <w:r w:rsidR="007F15E7">
              <w:rPr>
                <w:rFonts w:eastAsiaTheme="minorEastAsia"/>
                <w:sz w:val="22"/>
                <w:szCs w:val="22"/>
                <w:lang w:eastAsia="en-AU"/>
              </w:rPr>
              <w:tab/>
            </w:r>
            <w:r w:rsidR="007F15E7" w:rsidRPr="008029B9">
              <w:rPr>
                <w:rStyle w:val="Hyperlink"/>
              </w:rPr>
              <w:t>Retention of records – general</w:t>
            </w:r>
            <w:r w:rsidR="007F15E7">
              <w:rPr>
                <w:webHidden/>
              </w:rPr>
              <w:tab/>
            </w:r>
            <w:r w:rsidR="007F15E7">
              <w:rPr>
                <w:webHidden/>
              </w:rPr>
              <w:fldChar w:fldCharType="begin"/>
            </w:r>
            <w:r w:rsidR="007F15E7">
              <w:rPr>
                <w:webHidden/>
              </w:rPr>
              <w:instrText xml:space="preserve"> PAGEREF _Toc17104701 \h </w:instrText>
            </w:r>
            <w:r w:rsidR="007F15E7">
              <w:rPr>
                <w:webHidden/>
              </w:rPr>
            </w:r>
            <w:r w:rsidR="007F15E7">
              <w:rPr>
                <w:webHidden/>
              </w:rPr>
              <w:fldChar w:fldCharType="separate"/>
            </w:r>
            <w:r w:rsidR="007F15E7">
              <w:rPr>
                <w:webHidden/>
              </w:rPr>
              <w:t>34</w:t>
            </w:r>
            <w:r w:rsidR="007F15E7">
              <w:rPr>
                <w:webHidden/>
              </w:rPr>
              <w:fldChar w:fldCharType="end"/>
            </w:r>
          </w:hyperlink>
        </w:p>
        <w:p w14:paraId="2A5BDAA7" w14:textId="7DFB0247" w:rsidR="007F15E7" w:rsidRDefault="00461F99">
          <w:pPr>
            <w:pStyle w:val="TOC2"/>
            <w:tabs>
              <w:tab w:val="left" w:pos="1701"/>
            </w:tabs>
            <w:rPr>
              <w:rFonts w:eastAsiaTheme="minorEastAsia"/>
              <w:sz w:val="22"/>
              <w:szCs w:val="22"/>
              <w:lang w:eastAsia="en-AU"/>
            </w:rPr>
          </w:pPr>
          <w:hyperlink w:anchor="_Toc17104702" w:history="1">
            <w:r w:rsidR="007F15E7" w:rsidRPr="008029B9">
              <w:rPr>
                <w:rStyle w:val="Hyperlink"/>
              </w:rPr>
              <w:t>91.</w:t>
            </w:r>
            <w:r w:rsidR="007F15E7">
              <w:rPr>
                <w:rFonts w:eastAsiaTheme="minorEastAsia"/>
                <w:sz w:val="22"/>
                <w:szCs w:val="22"/>
                <w:lang w:eastAsia="en-AU"/>
              </w:rPr>
              <w:tab/>
            </w:r>
            <w:r w:rsidR="007F15E7" w:rsidRPr="008029B9">
              <w:rPr>
                <w:rStyle w:val="Hyperlink"/>
              </w:rPr>
              <w:t>Retention of records after cessation of employment</w:t>
            </w:r>
            <w:r w:rsidR="007F15E7">
              <w:rPr>
                <w:webHidden/>
              </w:rPr>
              <w:tab/>
            </w:r>
            <w:r w:rsidR="007F15E7">
              <w:rPr>
                <w:webHidden/>
              </w:rPr>
              <w:fldChar w:fldCharType="begin"/>
            </w:r>
            <w:r w:rsidR="007F15E7">
              <w:rPr>
                <w:webHidden/>
              </w:rPr>
              <w:instrText xml:space="preserve"> PAGEREF _Toc17104702 \h </w:instrText>
            </w:r>
            <w:r w:rsidR="007F15E7">
              <w:rPr>
                <w:webHidden/>
              </w:rPr>
            </w:r>
            <w:r w:rsidR="007F15E7">
              <w:rPr>
                <w:webHidden/>
              </w:rPr>
              <w:fldChar w:fldCharType="separate"/>
            </w:r>
            <w:r w:rsidR="007F15E7">
              <w:rPr>
                <w:webHidden/>
              </w:rPr>
              <w:t>35</w:t>
            </w:r>
            <w:r w:rsidR="007F15E7">
              <w:rPr>
                <w:webHidden/>
              </w:rPr>
              <w:fldChar w:fldCharType="end"/>
            </w:r>
          </w:hyperlink>
        </w:p>
        <w:p w14:paraId="20DFF789" w14:textId="040D7DF4" w:rsidR="007F15E7" w:rsidRDefault="00461F99">
          <w:pPr>
            <w:pStyle w:val="TOC2"/>
            <w:tabs>
              <w:tab w:val="left" w:pos="1701"/>
            </w:tabs>
            <w:rPr>
              <w:rFonts w:eastAsiaTheme="minorEastAsia"/>
              <w:sz w:val="22"/>
              <w:szCs w:val="22"/>
              <w:lang w:eastAsia="en-AU"/>
            </w:rPr>
          </w:pPr>
          <w:hyperlink w:anchor="_Toc17104703" w:history="1">
            <w:r w:rsidR="007F15E7" w:rsidRPr="008029B9">
              <w:rPr>
                <w:rStyle w:val="Hyperlink"/>
              </w:rPr>
              <w:t>92.</w:t>
            </w:r>
            <w:r w:rsidR="007F15E7">
              <w:rPr>
                <w:rFonts w:eastAsiaTheme="minorEastAsia"/>
                <w:sz w:val="22"/>
                <w:szCs w:val="22"/>
                <w:lang w:eastAsia="en-AU"/>
              </w:rPr>
              <w:tab/>
            </w:r>
            <w:r w:rsidR="007F15E7" w:rsidRPr="008029B9">
              <w:rPr>
                <w:rStyle w:val="Hyperlink"/>
              </w:rPr>
              <w:t>Health monitoring records</w:t>
            </w:r>
            <w:r w:rsidR="007F15E7">
              <w:rPr>
                <w:webHidden/>
              </w:rPr>
              <w:tab/>
            </w:r>
            <w:r w:rsidR="007F15E7">
              <w:rPr>
                <w:webHidden/>
              </w:rPr>
              <w:fldChar w:fldCharType="begin"/>
            </w:r>
            <w:r w:rsidR="007F15E7">
              <w:rPr>
                <w:webHidden/>
              </w:rPr>
              <w:instrText xml:space="preserve"> PAGEREF _Toc17104703 \h </w:instrText>
            </w:r>
            <w:r w:rsidR="007F15E7">
              <w:rPr>
                <w:webHidden/>
              </w:rPr>
            </w:r>
            <w:r w:rsidR="007F15E7">
              <w:rPr>
                <w:webHidden/>
              </w:rPr>
              <w:fldChar w:fldCharType="separate"/>
            </w:r>
            <w:r w:rsidR="007F15E7">
              <w:rPr>
                <w:webHidden/>
              </w:rPr>
              <w:t>35</w:t>
            </w:r>
            <w:r w:rsidR="007F15E7">
              <w:rPr>
                <w:webHidden/>
              </w:rPr>
              <w:fldChar w:fldCharType="end"/>
            </w:r>
          </w:hyperlink>
        </w:p>
        <w:p w14:paraId="72B289AC" w14:textId="24DBF8E6" w:rsidR="00332702" w:rsidRDefault="00461F99" w:rsidP="00AB6382">
          <w:pPr>
            <w:pStyle w:val="TOC1"/>
          </w:pPr>
          <w:hyperlink w:anchor="_Toc17104704" w:history="1">
            <w:r w:rsidR="007F15E7" w:rsidRPr="008029B9">
              <w:rPr>
                <w:rStyle w:val="Hyperlink"/>
              </w:rPr>
              <w:t>Glossary</w:t>
            </w:r>
            <w:r w:rsidR="007F15E7">
              <w:rPr>
                <w:webHidden/>
              </w:rPr>
              <w:tab/>
            </w:r>
            <w:r w:rsidR="007F15E7">
              <w:rPr>
                <w:webHidden/>
              </w:rPr>
              <w:fldChar w:fldCharType="begin"/>
            </w:r>
            <w:r w:rsidR="007F15E7">
              <w:rPr>
                <w:webHidden/>
              </w:rPr>
              <w:instrText xml:space="preserve"> PAGEREF _Toc17104704 \h </w:instrText>
            </w:r>
            <w:r w:rsidR="007F15E7">
              <w:rPr>
                <w:webHidden/>
              </w:rPr>
            </w:r>
            <w:r w:rsidR="007F15E7">
              <w:rPr>
                <w:webHidden/>
              </w:rPr>
              <w:fldChar w:fldCharType="separate"/>
            </w:r>
            <w:r w:rsidR="007F15E7">
              <w:rPr>
                <w:webHidden/>
              </w:rPr>
              <w:t>35</w:t>
            </w:r>
            <w:r w:rsidR="007F15E7">
              <w:rPr>
                <w:webHidden/>
              </w:rPr>
              <w:fldChar w:fldCharType="end"/>
            </w:r>
          </w:hyperlink>
          <w:r w:rsidR="00332702">
            <w:rPr>
              <w:b/>
              <w:bCs/>
            </w:rPr>
            <w:fldChar w:fldCharType="end"/>
          </w:r>
        </w:p>
      </w:sdtContent>
    </w:sdt>
    <w:p w14:paraId="72B289AD" w14:textId="77777777" w:rsidR="00ED1616" w:rsidRDefault="005823D1" w:rsidP="00ED1616">
      <w:pPr>
        <w:pStyle w:val="Heading1"/>
      </w:pPr>
      <w:r w:rsidRPr="0065203B">
        <w:br w:type="page"/>
      </w:r>
      <w:bookmarkStart w:id="2" w:name="_Toc4661823"/>
      <w:bookmarkStart w:id="3" w:name="_Toc17104595"/>
      <w:r w:rsidR="00ED1616">
        <w:lastRenderedPageBreak/>
        <w:t>Introduction</w:t>
      </w:r>
      <w:bookmarkEnd w:id="2"/>
      <w:bookmarkEnd w:id="3"/>
    </w:p>
    <w:p w14:paraId="72B289AE" w14:textId="0B93FBEB" w:rsidR="00ED1616" w:rsidRDefault="00ED1616" w:rsidP="00BD5E20">
      <w:r w:rsidRPr="00562632">
        <w:t xml:space="preserve">The </w:t>
      </w:r>
      <w:hyperlink r:id="rId18" w:history="1">
        <w:r w:rsidRPr="00FD02CD">
          <w:rPr>
            <w:rStyle w:val="Hyperlink"/>
          </w:rPr>
          <w:t>national model Work Health and Safety (WHS) Act</w:t>
        </w:r>
      </w:hyperlink>
      <w:r w:rsidRPr="00AB6382">
        <w:rPr>
          <w:color w:val="FF0000"/>
        </w:rPr>
        <w:t xml:space="preserve"> </w:t>
      </w:r>
      <w:r w:rsidRPr="00562632">
        <w:t xml:space="preserve">provides the overarching duties for participants in relation to health and safety in the workplace.  Detailed requirements related to specific hazards are provided in the </w:t>
      </w:r>
      <w:hyperlink r:id="rId19" w:history="1">
        <w:r w:rsidR="004375A0" w:rsidRPr="00FD02CD">
          <w:rPr>
            <w:rStyle w:val="Hyperlink"/>
          </w:rPr>
          <w:t xml:space="preserve">15 January 2019 </w:t>
        </w:r>
        <w:r w:rsidRPr="00FD02CD">
          <w:rPr>
            <w:rStyle w:val="Hyperlink"/>
          </w:rPr>
          <w:t>national model Work Health and Safety Regulations 201</w:t>
        </w:r>
        <w:r w:rsidR="00FF676F" w:rsidRPr="00FD02CD">
          <w:rPr>
            <w:rStyle w:val="Hyperlink"/>
          </w:rPr>
          <w:t>9</w:t>
        </w:r>
      </w:hyperlink>
      <w:r w:rsidRPr="007F15E7">
        <w:rPr>
          <w:color w:val="FF0000"/>
        </w:rPr>
        <w:t xml:space="preserve"> </w:t>
      </w:r>
      <w:r w:rsidR="004375A0">
        <w:t>(</w:t>
      </w:r>
      <w:r w:rsidRPr="00562632">
        <w:t xml:space="preserve">model WHS regulations) in a similar fashion to the requirements of the </w:t>
      </w:r>
      <w:hyperlink r:id="rId20" w:history="1">
        <w:r w:rsidRPr="00FD02CD">
          <w:rPr>
            <w:rStyle w:val="Hyperlink"/>
          </w:rPr>
          <w:t>Occupational Safety and Health Regulations 1996</w:t>
        </w:r>
      </w:hyperlink>
      <w:r w:rsidRPr="00AB6382">
        <w:rPr>
          <w:color w:val="FF0000"/>
        </w:rPr>
        <w:t xml:space="preserve"> </w:t>
      </w:r>
      <w:r w:rsidRPr="00562632">
        <w:t xml:space="preserve">(the OSH regulations).  </w:t>
      </w:r>
    </w:p>
    <w:p w14:paraId="081E88B6" w14:textId="77777777" w:rsidR="007F15E7" w:rsidRPr="00562632" w:rsidRDefault="007F15E7" w:rsidP="00BD5E20"/>
    <w:p w14:paraId="72B289AF" w14:textId="59C7A3FD" w:rsidR="00ED1616" w:rsidRDefault="00ED1616" w:rsidP="00BD5E20">
      <w:pPr>
        <w:rPr>
          <w:rFonts w:ascii="Arial" w:hAnsi="Arial" w:cs="Arial"/>
        </w:rPr>
      </w:pPr>
      <w:r w:rsidRPr="00562632">
        <w:rPr>
          <w:rFonts w:ascii="Arial" w:hAnsi="Arial" w:cs="Arial"/>
        </w:rPr>
        <w:t xml:space="preserve">The intention is for the </w:t>
      </w:r>
      <w:r w:rsidR="004375A0">
        <w:rPr>
          <w:rFonts w:ascii="Arial" w:hAnsi="Arial" w:cs="Arial"/>
        </w:rPr>
        <w:t>model WHS regulations</w:t>
      </w:r>
      <w:r w:rsidRPr="00562632">
        <w:rPr>
          <w:rFonts w:ascii="Arial" w:hAnsi="Arial" w:cs="Arial"/>
        </w:rPr>
        <w:t xml:space="preserve"> to be adopted, subject to consultation, as the Western Australian Work Health and Safety regulations (WA WHS regulations).  </w:t>
      </w:r>
    </w:p>
    <w:p w14:paraId="5AEAF3DB" w14:textId="77777777" w:rsidR="007F15E7" w:rsidRPr="00562632" w:rsidRDefault="007F15E7" w:rsidP="00BD5E20">
      <w:pPr>
        <w:rPr>
          <w:rFonts w:ascii="Arial" w:hAnsi="Arial" w:cs="Arial"/>
          <w:lang w:eastAsia="en-AU"/>
        </w:rPr>
      </w:pPr>
    </w:p>
    <w:p w14:paraId="72B289B0" w14:textId="4EC551BD" w:rsidR="00ED1616" w:rsidRDefault="00ED1616" w:rsidP="00BD5E20">
      <w:pPr>
        <w:rPr>
          <w:rFonts w:eastAsiaTheme="majorEastAsia"/>
        </w:rPr>
      </w:pPr>
      <w:r w:rsidRPr="00562632">
        <w:rPr>
          <w:rFonts w:eastAsiaTheme="majorEastAsia"/>
        </w:rPr>
        <w:t>To help facilitate the WA WHS regulations being developed</w:t>
      </w:r>
      <w:r w:rsidRPr="00562632">
        <w:t xml:space="preserve">, the Commission for Occupational Safety and Health (Commission) requested that the differences between the model WHS regulations and the OSH regulations be identified.  As a result of the request, this </w:t>
      </w:r>
      <w:r w:rsidRPr="00562632">
        <w:rPr>
          <w:rFonts w:eastAsiaTheme="majorEastAsia"/>
        </w:rPr>
        <w:t xml:space="preserve">document (titled </w:t>
      </w:r>
      <w:r w:rsidRPr="004375A0">
        <w:rPr>
          <w:rFonts w:eastAsiaTheme="majorEastAsia"/>
          <w:i/>
          <w:color w:val="000000" w:themeColor="text1"/>
        </w:rPr>
        <w:t xml:space="preserve">Differences </w:t>
      </w:r>
      <w:r w:rsidR="00FF676F" w:rsidRPr="004375A0">
        <w:rPr>
          <w:rFonts w:eastAsiaTheme="majorEastAsia"/>
          <w:i/>
          <w:color w:val="000000" w:themeColor="text1"/>
        </w:rPr>
        <w:t>b</w:t>
      </w:r>
      <w:r w:rsidRPr="004375A0">
        <w:rPr>
          <w:rFonts w:eastAsiaTheme="majorEastAsia"/>
          <w:i/>
          <w:color w:val="000000" w:themeColor="text1"/>
        </w:rPr>
        <w:t>etween the National Model Work He</w:t>
      </w:r>
      <w:r w:rsidR="00FF676F" w:rsidRPr="004375A0">
        <w:rPr>
          <w:rFonts w:eastAsiaTheme="majorEastAsia"/>
          <w:i/>
          <w:color w:val="000000" w:themeColor="text1"/>
        </w:rPr>
        <w:t>alth and Safety Regulations 2019</w:t>
      </w:r>
      <w:r w:rsidRPr="004375A0">
        <w:rPr>
          <w:rFonts w:eastAsiaTheme="majorEastAsia"/>
          <w:i/>
          <w:color w:val="000000" w:themeColor="text1"/>
        </w:rPr>
        <w:t xml:space="preserve"> and the Occupational Safety and Health Regulations 1996</w:t>
      </w:r>
      <w:r w:rsidRPr="004375A0">
        <w:rPr>
          <w:rFonts w:eastAsiaTheme="majorEastAsia"/>
          <w:color w:val="000000" w:themeColor="text1"/>
        </w:rPr>
        <w:t xml:space="preserve">) </w:t>
      </w:r>
      <w:r w:rsidRPr="00562632">
        <w:rPr>
          <w:rFonts w:eastAsiaTheme="majorEastAsia"/>
        </w:rPr>
        <w:t xml:space="preserve">was developed.  </w:t>
      </w:r>
    </w:p>
    <w:p w14:paraId="02DD92FC" w14:textId="77777777" w:rsidR="007F15E7" w:rsidRPr="00562632" w:rsidRDefault="007F15E7" w:rsidP="00BD5E20">
      <w:pPr>
        <w:rPr>
          <w:rFonts w:eastAsiaTheme="majorEastAsia"/>
        </w:rPr>
      </w:pPr>
    </w:p>
    <w:p w14:paraId="72B289B1" w14:textId="4A94156C" w:rsidR="00ED1616" w:rsidRDefault="00ED1616" w:rsidP="00BD5E20">
      <w:pPr>
        <w:rPr>
          <w:rFonts w:cs="Arial"/>
        </w:rPr>
      </w:pPr>
      <w:r w:rsidRPr="00B23B2F">
        <w:rPr>
          <w:rFonts w:eastAsiaTheme="majorEastAsia"/>
          <w:color w:val="000000" w:themeColor="text1"/>
        </w:rPr>
        <w:t>The</w:t>
      </w:r>
      <w:r w:rsidRPr="00562632">
        <w:rPr>
          <w:rFonts w:eastAsiaTheme="majorEastAsia"/>
          <w:color w:val="FF0000"/>
        </w:rPr>
        <w:t xml:space="preserve"> </w:t>
      </w:r>
      <w:r w:rsidRPr="004375A0">
        <w:rPr>
          <w:rFonts w:eastAsiaTheme="majorEastAsia"/>
          <w:i/>
          <w:color w:val="000000" w:themeColor="text1"/>
        </w:rPr>
        <w:t>Diffe</w:t>
      </w:r>
      <w:r w:rsidR="00FF676F" w:rsidRPr="004375A0">
        <w:rPr>
          <w:rFonts w:eastAsiaTheme="majorEastAsia"/>
          <w:i/>
          <w:color w:val="000000" w:themeColor="text1"/>
        </w:rPr>
        <w:t>rences b</w:t>
      </w:r>
      <w:r w:rsidRPr="004375A0">
        <w:rPr>
          <w:rFonts w:eastAsiaTheme="majorEastAsia"/>
          <w:i/>
          <w:color w:val="000000" w:themeColor="text1"/>
        </w:rPr>
        <w:t>etween the National Model Work Health and Safety Regulations 201</w:t>
      </w:r>
      <w:r w:rsidR="00FF676F" w:rsidRPr="004375A0">
        <w:rPr>
          <w:rFonts w:eastAsiaTheme="majorEastAsia"/>
          <w:i/>
          <w:color w:val="000000" w:themeColor="text1"/>
        </w:rPr>
        <w:t>9</w:t>
      </w:r>
      <w:r w:rsidRPr="004375A0">
        <w:rPr>
          <w:rFonts w:eastAsiaTheme="majorEastAsia"/>
          <w:i/>
          <w:color w:val="000000" w:themeColor="text1"/>
        </w:rPr>
        <w:t xml:space="preserve"> and the Occupational Safety and Health Regulations 1996</w:t>
      </w:r>
      <w:r w:rsidRPr="004375A0">
        <w:rPr>
          <w:rFonts w:eastAsiaTheme="majorEastAsia"/>
          <w:color w:val="000000" w:themeColor="text1"/>
        </w:rPr>
        <w:t xml:space="preserve"> </w:t>
      </w:r>
      <w:r w:rsidRPr="00562632">
        <w:rPr>
          <w:rFonts w:eastAsiaTheme="majorEastAsia"/>
        </w:rPr>
        <w:t xml:space="preserve">document </w:t>
      </w:r>
      <w:r w:rsidRPr="00562632">
        <w:rPr>
          <w:rFonts w:cs="Arial"/>
        </w:rPr>
        <w:t xml:space="preserve">is not a comprehensive list of all the differences.  </w:t>
      </w:r>
    </w:p>
    <w:p w14:paraId="2E069B2A" w14:textId="77777777" w:rsidR="007F15E7" w:rsidRPr="00562632" w:rsidRDefault="007F15E7" w:rsidP="00BD5E20">
      <w:pPr>
        <w:rPr>
          <w:rFonts w:cs="Arial"/>
        </w:rPr>
      </w:pPr>
    </w:p>
    <w:p w14:paraId="72B289B2" w14:textId="649CEEAD" w:rsidR="00ED1616" w:rsidRPr="00A07821" w:rsidRDefault="00ED1616" w:rsidP="00BD5E20">
      <w:pPr>
        <w:rPr>
          <w:rFonts w:eastAsiaTheme="majorEastAsia"/>
        </w:rPr>
      </w:pPr>
      <w:r w:rsidRPr="00562632">
        <w:t xml:space="preserve">Every effort has been made to identify the significant differences between the two sets of regulations and the comparison table attached below is provided for your reference.  It is acknowledged that stakeholders will have particular interests in relation to the workplace health and safety laws and will likely identify other differences.  In view of these circumstances, as a stakeholder, please ensure you make your own comparisons between the two sets of regulations in relation to proposals that affect your workplace or area of interest.  If you are involved in mining or petroleum and geothermal energy operations, please make your comparisons with the related legislation listed under </w:t>
      </w:r>
      <w:r w:rsidR="00FD02CD">
        <w:rPr>
          <w:i/>
          <w:color w:val="000000" w:themeColor="text1"/>
        </w:rPr>
        <w:t xml:space="preserve">List of internet links in the Consultation Package </w:t>
      </w:r>
      <w:r w:rsidR="00FD02CD">
        <w:rPr>
          <w:color w:val="000000" w:themeColor="text1"/>
        </w:rPr>
        <w:t xml:space="preserve">in </w:t>
      </w:r>
      <w:hyperlink r:id="rId21" w:history="1">
        <w:r w:rsidR="00FD02CD" w:rsidRPr="00355E48">
          <w:rPr>
            <w:rStyle w:val="Hyperlink"/>
          </w:rPr>
          <w:t>Review Process Summary – Develop Work Health and Safety Regulations for Western Australia</w:t>
        </w:r>
        <w:r w:rsidRPr="00355E48">
          <w:rPr>
            <w:rStyle w:val="Hyperlink"/>
          </w:rPr>
          <w:t>.</w:t>
        </w:r>
      </w:hyperlink>
    </w:p>
    <w:p w14:paraId="53414A2C" w14:textId="77777777" w:rsidR="007F15E7" w:rsidRPr="00562632" w:rsidRDefault="007F15E7" w:rsidP="00BD5E20"/>
    <w:p w14:paraId="72B289B3" w14:textId="2D3C24E6" w:rsidR="00ED1616" w:rsidRDefault="00ED1616" w:rsidP="00BD5E20">
      <w:pPr>
        <w:rPr>
          <w:rFonts w:eastAsiaTheme="majorEastAsia"/>
        </w:rPr>
      </w:pPr>
      <w:r w:rsidRPr="00562632">
        <w:rPr>
          <w:rFonts w:eastAsiaTheme="majorEastAsia"/>
        </w:rPr>
        <w:t>There is no obligation on you to provide comment or make a submission ab</w:t>
      </w:r>
      <w:bookmarkStart w:id="4" w:name="_GoBack"/>
      <w:bookmarkEnd w:id="4"/>
      <w:r w:rsidRPr="00562632">
        <w:rPr>
          <w:rFonts w:eastAsiaTheme="majorEastAsia"/>
        </w:rPr>
        <w:t xml:space="preserve">out all of the individual regulations in the model WHS regulations.  You have the discretion to choose whether you provide a comment or submission in relation </w:t>
      </w:r>
      <w:r w:rsidR="00DF4220">
        <w:rPr>
          <w:rFonts w:eastAsiaTheme="majorEastAsia"/>
        </w:rPr>
        <w:t xml:space="preserve">to </w:t>
      </w:r>
      <w:r w:rsidRPr="00562632">
        <w:rPr>
          <w:rFonts w:eastAsiaTheme="majorEastAsia"/>
        </w:rPr>
        <w:t xml:space="preserve">any or all of the regulations in the model WHS regulations. </w:t>
      </w:r>
    </w:p>
    <w:p w14:paraId="2EDF5AF1" w14:textId="77777777" w:rsidR="007F15E7" w:rsidRPr="00562632" w:rsidRDefault="007F15E7" w:rsidP="00BD5E20">
      <w:pPr>
        <w:rPr>
          <w:rFonts w:eastAsiaTheme="majorEastAsia"/>
        </w:rPr>
      </w:pPr>
    </w:p>
    <w:p w14:paraId="72B289B4" w14:textId="79249E8C" w:rsidR="00ED1616" w:rsidRPr="00CD6353" w:rsidRDefault="00ED1616" w:rsidP="00BD5E20">
      <w:pPr>
        <w:rPr>
          <w:rFonts w:eastAsiaTheme="majorEastAsia"/>
        </w:rPr>
      </w:pPr>
      <w:r w:rsidRPr="00562632">
        <w:rPr>
          <w:rFonts w:eastAsiaTheme="majorEastAsia"/>
        </w:rPr>
        <w:t>If you would like to make comments about the model WHS regulations</w:t>
      </w:r>
      <w:r w:rsidR="00A07CF9">
        <w:rPr>
          <w:rFonts w:eastAsiaTheme="majorEastAsia"/>
        </w:rPr>
        <w:t xml:space="preserve"> use </w:t>
      </w:r>
      <w:r w:rsidRPr="00562632">
        <w:rPr>
          <w:rFonts w:eastAsiaTheme="majorEastAsia"/>
        </w:rPr>
        <w:t xml:space="preserve">the </w:t>
      </w:r>
      <w:hyperlink r:id="rId22" w:history="1">
        <w:r w:rsidRPr="00CD6353">
          <w:rPr>
            <w:rStyle w:val="Hyperlink"/>
            <w:rFonts w:eastAsiaTheme="majorEastAsia"/>
          </w:rPr>
          <w:t>Template - WHS Regulations Submission Document</w:t>
        </w:r>
      </w:hyperlink>
      <w:r w:rsidRPr="00CD6353">
        <w:rPr>
          <w:rFonts w:eastAsiaTheme="majorEastAsia"/>
        </w:rPr>
        <w:t>.</w:t>
      </w:r>
    </w:p>
    <w:p w14:paraId="57654589" w14:textId="77777777" w:rsidR="007F15E7" w:rsidRPr="00CD6353" w:rsidRDefault="007F15E7" w:rsidP="00BD5E20">
      <w:pPr>
        <w:rPr>
          <w:rFonts w:eastAsiaTheme="majorEastAsia"/>
        </w:rPr>
      </w:pPr>
    </w:p>
    <w:p w14:paraId="72B289B5" w14:textId="77777777" w:rsidR="00ED1616" w:rsidRPr="00562632" w:rsidRDefault="00ED1616" w:rsidP="00AB6382">
      <w:pPr>
        <w:spacing w:after="120" w:line="288" w:lineRule="auto"/>
        <w:rPr>
          <w:rFonts w:ascii="Arial" w:hAnsi="Arial"/>
        </w:rPr>
      </w:pPr>
      <w:r w:rsidRPr="00562632">
        <w:rPr>
          <w:rFonts w:ascii="Arial" w:hAnsi="Arial"/>
        </w:rPr>
        <w:t>When making your submission, please consider providing specific responses to the following issues:</w:t>
      </w:r>
    </w:p>
    <w:p w14:paraId="72B289B6" w14:textId="77777777" w:rsidR="00ED1616" w:rsidRPr="00BD5E20" w:rsidRDefault="00ED1616" w:rsidP="00AB6382">
      <w:pPr>
        <w:pStyle w:val="ListNumber"/>
        <w:spacing w:after="120" w:line="288" w:lineRule="auto"/>
      </w:pPr>
      <w:r w:rsidRPr="00BD5E20">
        <w:t>What is the benefit to workplace participants of a proposal?</w:t>
      </w:r>
    </w:p>
    <w:p w14:paraId="72B289B7" w14:textId="77777777" w:rsidR="00ED1616" w:rsidRPr="00BD5E20" w:rsidRDefault="00ED1616" w:rsidP="00AB6382">
      <w:pPr>
        <w:pStyle w:val="ListNumber"/>
        <w:spacing w:after="120" w:line="288" w:lineRule="auto"/>
      </w:pPr>
      <w:r w:rsidRPr="00BD5E20">
        <w:lastRenderedPageBreak/>
        <w:t>What is the likely cost for you, your business and the Regulator to implement a specific proposal?</w:t>
      </w:r>
    </w:p>
    <w:p w14:paraId="72B289B8" w14:textId="77777777" w:rsidR="00ED1616" w:rsidRPr="00BD5E20" w:rsidRDefault="00ED1616" w:rsidP="00AB6382">
      <w:pPr>
        <w:pStyle w:val="ListNumber"/>
        <w:spacing w:after="120" w:line="288" w:lineRule="auto"/>
      </w:pPr>
      <w:r w:rsidRPr="00BD5E20">
        <w:t>Is a specific recommendation likely to be effective in achieving healthier and safer workplaces?</w:t>
      </w:r>
    </w:p>
    <w:p w14:paraId="72B289B9" w14:textId="77777777" w:rsidR="00ED1616" w:rsidRPr="00BD5E20" w:rsidRDefault="00ED1616" w:rsidP="00AB6382">
      <w:pPr>
        <w:pStyle w:val="ListNumber"/>
        <w:spacing w:after="120" w:line="288" w:lineRule="auto"/>
      </w:pPr>
      <w:r w:rsidRPr="00BD5E20">
        <w:t>Are there any unintended consequences of adopting individual regulations in the model WHS regulations?</w:t>
      </w:r>
    </w:p>
    <w:p w14:paraId="72B289BA" w14:textId="77777777" w:rsidR="00ED1616" w:rsidRPr="00BD5E20" w:rsidRDefault="00ED1616" w:rsidP="00AB6382">
      <w:pPr>
        <w:pStyle w:val="ListNumber"/>
        <w:spacing w:after="120" w:line="288" w:lineRule="auto"/>
      </w:pPr>
      <w:r w:rsidRPr="00BD5E20">
        <w:t>If a new requirement is proposed by the model WHS regulations, what are the costs and benefits?</w:t>
      </w:r>
    </w:p>
    <w:p w14:paraId="72B289BC" w14:textId="6B8BD965" w:rsidR="00ED1616" w:rsidRDefault="00ED1616" w:rsidP="00ED1616">
      <w:pPr>
        <w:pStyle w:val="Heading2"/>
      </w:pPr>
      <w:bookmarkStart w:id="5" w:name="_Toc4661824"/>
      <w:bookmarkStart w:id="6" w:name="_Toc17104596"/>
      <w:bookmarkStart w:id="7" w:name="_Toc451257327"/>
      <w:bookmarkStart w:id="8" w:name="_Toc451422046"/>
      <w:bookmarkStart w:id="9" w:name="_Toc451437259"/>
      <w:r w:rsidRPr="00AB1264">
        <w:t>Demolition licensing, Commercial driver fatigue and Protection from tobacco smoke</w:t>
      </w:r>
      <w:r w:rsidR="00BD5E20">
        <w:t xml:space="preserve"> – </w:t>
      </w:r>
      <w:r>
        <w:t>unique provisions from the Occupational Safety and Health Regulations 1996</w:t>
      </w:r>
      <w:bookmarkEnd w:id="5"/>
      <w:bookmarkEnd w:id="6"/>
    </w:p>
    <w:p w14:paraId="72B289BE" w14:textId="77777777" w:rsidR="00ED1616" w:rsidRPr="00562632" w:rsidRDefault="00ED1616" w:rsidP="007F15E7">
      <w:pPr>
        <w:rPr>
          <w:rFonts w:eastAsiaTheme="majorEastAsia"/>
        </w:rPr>
      </w:pPr>
      <w:r w:rsidRPr="00562632">
        <w:rPr>
          <w:rFonts w:eastAsiaTheme="majorEastAsia"/>
        </w:rPr>
        <w:t>The existing Occupational Safety and Health Regulations 1996 (OSH regulations) include the following provisions, which are not in the national model WHS regulations:</w:t>
      </w:r>
    </w:p>
    <w:p w14:paraId="72B289BF" w14:textId="77777777" w:rsidR="00ED1616" w:rsidRPr="006B7E10" w:rsidRDefault="00ED1616">
      <w:pPr>
        <w:pStyle w:val="ListBullet"/>
        <w:rPr>
          <w:rFonts w:eastAsiaTheme="majorEastAsia"/>
          <w:color w:val="000000" w:themeColor="text1"/>
        </w:rPr>
      </w:pPr>
      <w:r w:rsidRPr="006B7E10">
        <w:rPr>
          <w:rFonts w:eastAsiaTheme="majorEastAsia"/>
          <w:color w:val="000000" w:themeColor="text1"/>
        </w:rPr>
        <w:t>Demolition licensing – r. 3.114 to r. 3.129</w:t>
      </w:r>
    </w:p>
    <w:p w14:paraId="72B289C0" w14:textId="77777777" w:rsidR="00ED1616" w:rsidRPr="006B7E10" w:rsidRDefault="00ED1616">
      <w:pPr>
        <w:pStyle w:val="ListBullet"/>
        <w:rPr>
          <w:rFonts w:eastAsiaTheme="majorEastAsia"/>
          <w:color w:val="000000" w:themeColor="text1"/>
        </w:rPr>
      </w:pPr>
      <w:r w:rsidRPr="006B7E10">
        <w:rPr>
          <w:rFonts w:eastAsiaTheme="majorEastAsia"/>
          <w:color w:val="000000" w:themeColor="text1"/>
        </w:rPr>
        <w:t xml:space="preserve">Commercial driver fatigue – r. 3.130 to 3.134 </w:t>
      </w:r>
    </w:p>
    <w:p w14:paraId="72B289C1" w14:textId="77777777" w:rsidR="00ED1616" w:rsidRPr="00562632" w:rsidRDefault="00ED1616">
      <w:pPr>
        <w:pStyle w:val="ListBullet"/>
        <w:rPr>
          <w:rFonts w:eastAsiaTheme="majorEastAsia"/>
        </w:rPr>
      </w:pPr>
      <w:r w:rsidRPr="006B7E10">
        <w:rPr>
          <w:rFonts w:eastAsiaTheme="majorEastAsia"/>
          <w:color w:val="000000" w:themeColor="text1"/>
        </w:rPr>
        <w:t xml:space="preserve">Protection from tobacco smoke </w:t>
      </w:r>
      <w:r w:rsidRPr="00562632">
        <w:rPr>
          <w:rFonts w:eastAsiaTheme="majorEastAsia"/>
        </w:rPr>
        <w:t xml:space="preserve">– r. 3.44A to 3.44I </w:t>
      </w:r>
    </w:p>
    <w:p w14:paraId="6D358497" w14:textId="77777777" w:rsidR="007F15E7" w:rsidRDefault="007F15E7"/>
    <w:p w14:paraId="72B289C2" w14:textId="19EB26A0" w:rsidR="00ED1616" w:rsidRPr="00562632" w:rsidRDefault="00ED1616" w:rsidP="00AB6382">
      <w:pPr>
        <w:spacing w:after="120"/>
      </w:pPr>
      <w:r w:rsidRPr="00562632">
        <w:t>Part 4.6 of the model WHS regulations provides the requirements for demolition work.  The jurisdictional note for Part 4.6 Division 2 states that:</w:t>
      </w:r>
    </w:p>
    <w:p w14:paraId="72B289C3" w14:textId="77777777" w:rsidR="00ED1616" w:rsidRPr="00562632" w:rsidRDefault="00ED1616" w:rsidP="00AB6382">
      <w:pPr>
        <w:pStyle w:val="NoSpacing"/>
        <w:spacing w:before="0" w:after="100" w:afterAutospacing="1" w:line="276" w:lineRule="auto"/>
        <w:ind w:left="360"/>
        <w:rPr>
          <w:i/>
          <w:sz w:val="22"/>
        </w:rPr>
      </w:pPr>
      <w:r w:rsidRPr="00562632">
        <w:rPr>
          <w:i/>
          <w:sz w:val="22"/>
        </w:rPr>
        <w:t>A jurisdiction may insert transitional and savings provisions for the licensing of demolishers pending the regulation of demolishers under the Occupational Licensing National Law.</w:t>
      </w:r>
    </w:p>
    <w:p w14:paraId="72B289C4" w14:textId="4A8FF329" w:rsidR="00ED1616" w:rsidRPr="00562632" w:rsidRDefault="00ED1616" w:rsidP="00AB6382">
      <w:pPr>
        <w:spacing w:after="120"/>
        <w:rPr>
          <w:lang w:eastAsia="en-AU"/>
        </w:rPr>
      </w:pPr>
      <w:r w:rsidRPr="00562632">
        <w:rPr>
          <w:color w:val="000000"/>
          <w:lang w:eastAsia="en-AU"/>
        </w:rPr>
        <w:t>It is intended that the demolition licensing requirements of the OSH regulations</w:t>
      </w:r>
      <w:r w:rsidRPr="00562632">
        <w:rPr>
          <w:lang w:val="en"/>
        </w:rPr>
        <w:t xml:space="preserve"> will be included in the WA WHS regulations.  </w:t>
      </w:r>
      <w:r w:rsidRPr="00562632">
        <w:t>Commercial driver fatigue and Protection from tobacco smoke</w:t>
      </w:r>
      <w:r w:rsidRPr="00562632">
        <w:rPr>
          <w:lang w:val="en"/>
        </w:rPr>
        <w:t xml:space="preserve"> regulations </w:t>
      </w:r>
      <w:r w:rsidRPr="00562632">
        <w:rPr>
          <w:rFonts w:eastAsiaTheme="majorEastAsia"/>
        </w:rPr>
        <w:t xml:space="preserve">will also be included in the WA WHS regulations and apply to all workplaces including mining. </w:t>
      </w:r>
      <w:r w:rsidR="00236322">
        <w:rPr>
          <w:rFonts w:ascii="Arial" w:eastAsiaTheme="majorEastAsia" w:hAnsi="Arial" w:cs="Arial"/>
        </w:rPr>
        <w:t xml:space="preserve">There will also be some amendments reflecting the tobacco smoke exclusion in the Mines Safety Inspection Regulations (r. 9.31) 1995 for non-coal underground mines.  </w:t>
      </w:r>
      <w:r w:rsidR="00DF4220">
        <w:rPr>
          <w:lang w:eastAsia="en-AU"/>
        </w:rPr>
        <w:t>The bulk of the WA WHS r</w:t>
      </w:r>
      <w:r w:rsidRPr="00562632">
        <w:rPr>
          <w:lang w:eastAsia="en-AU"/>
        </w:rPr>
        <w:t>egulations will not apply to petroleum and geothermal energy operations.  To avoid unnecessary duplication, it is anticipated that the fo</w:t>
      </w:r>
      <w:r w:rsidR="00DF4220">
        <w:rPr>
          <w:lang w:eastAsia="en-AU"/>
        </w:rPr>
        <w:t>llowing Parts of the model WHS r</w:t>
      </w:r>
      <w:r w:rsidRPr="00562632">
        <w:rPr>
          <w:lang w:eastAsia="en-AU"/>
        </w:rPr>
        <w:t>egulations will apply to petroleum and geothermal energy operations:</w:t>
      </w:r>
    </w:p>
    <w:p w14:paraId="72B289C5" w14:textId="77777777" w:rsidR="00ED1616" w:rsidRPr="00562632" w:rsidRDefault="00ED1616" w:rsidP="00AB6382">
      <w:pPr>
        <w:pStyle w:val="ListBullet"/>
        <w:spacing w:after="120"/>
        <w:rPr>
          <w:lang w:eastAsia="en-AU"/>
        </w:rPr>
      </w:pPr>
      <w:r w:rsidRPr="00562632">
        <w:rPr>
          <w:lang w:eastAsia="en-AU"/>
        </w:rPr>
        <w:t>Chapter 2 Representation and Participation – Parts 2.1, 2.2, 2.3, 2.4, which provides for workplace consultation, Health and Safety Representatives, and Safety Committees</w:t>
      </w:r>
    </w:p>
    <w:p w14:paraId="72B289C6" w14:textId="77777777" w:rsidR="00ED1616" w:rsidRPr="00562632" w:rsidRDefault="00ED1616" w:rsidP="00AB6382">
      <w:pPr>
        <w:pStyle w:val="ListBullet"/>
        <w:spacing w:after="120"/>
        <w:rPr>
          <w:lang w:eastAsia="en-AU"/>
        </w:rPr>
      </w:pPr>
      <w:r w:rsidRPr="00562632">
        <w:rPr>
          <w:lang w:eastAsia="en-AU"/>
        </w:rPr>
        <w:t>Chapter 3 General Risk and Workplace Management – Part 3.1</w:t>
      </w:r>
    </w:p>
    <w:p w14:paraId="72B289C7" w14:textId="77777777" w:rsidR="00ED1616" w:rsidRPr="00562632" w:rsidRDefault="00ED1616" w:rsidP="00AB6382">
      <w:pPr>
        <w:pStyle w:val="ListBullet"/>
        <w:spacing w:after="0"/>
        <w:rPr>
          <w:lang w:eastAsia="en-AU"/>
        </w:rPr>
      </w:pPr>
      <w:r w:rsidRPr="00562632">
        <w:rPr>
          <w:lang w:eastAsia="en-AU"/>
        </w:rPr>
        <w:t>Chapter 11 Miscellaneous – Part 11.3, which provides for the clarification of miscellaneous matters.</w:t>
      </w:r>
    </w:p>
    <w:p w14:paraId="5431768B" w14:textId="77777777" w:rsidR="007F15E7" w:rsidRDefault="007F15E7" w:rsidP="007F15E7">
      <w:pPr>
        <w:rPr>
          <w:rFonts w:eastAsiaTheme="majorEastAsia"/>
        </w:rPr>
      </w:pPr>
    </w:p>
    <w:p w14:paraId="72B289C8" w14:textId="5CE5A53A" w:rsidR="00ED1616" w:rsidRPr="00CD6353" w:rsidRDefault="00ED1616" w:rsidP="007F15E7">
      <w:r w:rsidRPr="00562632">
        <w:rPr>
          <w:rFonts w:eastAsiaTheme="majorEastAsia"/>
        </w:rPr>
        <w:lastRenderedPageBreak/>
        <w:t xml:space="preserve">If you would like to make comment about the </w:t>
      </w:r>
      <w:r w:rsidRPr="00562632">
        <w:t>Demolition licensing, Commercial driver fatigue and Protection from tobacco smoke</w:t>
      </w:r>
      <w:r w:rsidR="007F15E7">
        <w:t xml:space="preserve"> regulations</w:t>
      </w:r>
      <w:r w:rsidRPr="00562632">
        <w:rPr>
          <w:rFonts w:eastAsiaTheme="majorEastAsia"/>
        </w:rPr>
        <w:t>,</w:t>
      </w:r>
      <w:r w:rsidR="0044007D">
        <w:rPr>
          <w:rFonts w:eastAsiaTheme="majorEastAsia"/>
        </w:rPr>
        <w:t xml:space="preserve"> </w:t>
      </w:r>
      <w:r w:rsidR="007F15E7">
        <w:rPr>
          <w:rFonts w:eastAsiaTheme="majorEastAsia"/>
        </w:rPr>
        <w:t xml:space="preserve">please </w:t>
      </w:r>
      <w:r w:rsidR="0044007D">
        <w:rPr>
          <w:rFonts w:eastAsiaTheme="majorEastAsia"/>
        </w:rPr>
        <w:t>use</w:t>
      </w:r>
      <w:r w:rsidRPr="00562632">
        <w:rPr>
          <w:rFonts w:eastAsiaTheme="majorEastAsia"/>
        </w:rPr>
        <w:t xml:space="preserve"> the </w:t>
      </w:r>
      <w:hyperlink r:id="rId23" w:history="1">
        <w:r w:rsidRPr="00CD6353">
          <w:rPr>
            <w:rStyle w:val="Hyperlink"/>
            <w:rFonts w:eastAsiaTheme="majorEastAsia"/>
          </w:rPr>
          <w:t>Template - WHS Regulations Submission Document</w:t>
        </w:r>
        <w:r w:rsidRPr="00CD6353">
          <w:rPr>
            <w:rStyle w:val="Hyperlink"/>
          </w:rPr>
          <w:t>.</w:t>
        </w:r>
      </w:hyperlink>
    </w:p>
    <w:p w14:paraId="72B289C9" w14:textId="77777777" w:rsidR="00ED1616" w:rsidRDefault="00ED1616" w:rsidP="00ED1616">
      <w:pPr>
        <w:pStyle w:val="Heading2"/>
      </w:pPr>
      <w:bookmarkStart w:id="10" w:name="_Toc4661825"/>
      <w:bookmarkStart w:id="11" w:name="_Toc17104597"/>
      <w:r>
        <w:t>M</w:t>
      </w:r>
      <w:r w:rsidRPr="007C0F27">
        <w:t xml:space="preserve">ines and petroleum and geothermal </w:t>
      </w:r>
      <w:r>
        <w:t xml:space="preserve">energy </w:t>
      </w:r>
      <w:r w:rsidRPr="007C0F27">
        <w:t>operations</w:t>
      </w:r>
      <w:bookmarkEnd w:id="10"/>
      <w:bookmarkEnd w:id="11"/>
      <w:r w:rsidRPr="007C0F27">
        <w:t xml:space="preserve"> </w:t>
      </w:r>
    </w:p>
    <w:p w14:paraId="0F869D38" w14:textId="3AE37BE6" w:rsidR="007F15E7" w:rsidRPr="00CD6353" w:rsidRDefault="00ED1616" w:rsidP="00562632">
      <w:pPr>
        <w:pStyle w:val="ListBullet"/>
        <w:rPr>
          <w:rFonts w:eastAsiaTheme="majorEastAsia"/>
        </w:rPr>
      </w:pPr>
      <w:r w:rsidRPr="00562632">
        <w:rPr>
          <w:rFonts w:eastAsiaTheme="majorEastAsia"/>
        </w:rPr>
        <w:t xml:space="preserve">The model WHS regulations will apply to workplaces generally.  Workplace health and safety regulations relevant to mines and petroleum and geothermal </w:t>
      </w:r>
      <w:r w:rsidR="007F15E7">
        <w:rPr>
          <w:rFonts w:eastAsiaTheme="majorEastAsia"/>
        </w:rPr>
        <w:t>energy</w:t>
      </w:r>
      <w:r w:rsidR="007F15E7" w:rsidRPr="00562632">
        <w:rPr>
          <w:rFonts w:eastAsiaTheme="majorEastAsia"/>
        </w:rPr>
        <w:t xml:space="preserve"> </w:t>
      </w:r>
      <w:r w:rsidRPr="00562632">
        <w:rPr>
          <w:rFonts w:eastAsiaTheme="majorEastAsia"/>
        </w:rPr>
        <w:t xml:space="preserve">laws will additionally apply.  The proposals </w:t>
      </w:r>
      <w:r w:rsidRPr="00CD6353">
        <w:rPr>
          <w:rFonts w:eastAsiaTheme="majorEastAsia"/>
        </w:rPr>
        <w:t xml:space="preserve">for the mines and petroleum and geothermal </w:t>
      </w:r>
      <w:r w:rsidR="007F15E7" w:rsidRPr="00CD6353">
        <w:rPr>
          <w:rFonts w:eastAsiaTheme="majorEastAsia"/>
        </w:rPr>
        <w:t xml:space="preserve">energy </w:t>
      </w:r>
      <w:r w:rsidRPr="00CD6353">
        <w:rPr>
          <w:rFonts w:eastAsiaTheme="majorEastAsia"/>
        </w:rPr>
        <w:t>laws are available at the following links</w:t>
      </w:r>
      <w:r w:rsidR="007F15E7" w:rsidRPr="00CD6353">
        <w:rPr>
          <w:rFonts w:eastAsiaTheme="majorEastAsia"/>
        </w:rPr>
        <w:t>:</w:t>
      </w:r>
    </w:p>
    <w:p w14:paraId="2173D778" w14:textId="53A7E147" w:rsidR="008859DC" w:rsidRPr="009A0FE6" w:rsidRDefault="00461F99" w:rsidP="008859DC">
      <w:pPr>
        <w:pStyle w:val="ListBullet2"/>
        <w:rPr>
          <w:rStyle w:val="Hyperlink"/>
          <w:rFonts w:eastAsiaTheme="majorEastAsia"/>
          <w:color w:val="auto"/>
        </w:rPr>
      </w:pPr>
      <w:hyperlink r:id="rId24" w:history="1">
        <w:r w:rsidR="008859DC" w:rsidRPr="008859DC">
          <w:rPr>
            <w:rStyle w:val="Hyperlink"/>
            <w:rFonts w:eastAsiaTheme="majorEastAsia"/>
          </w:rPr>
          <w:t>Mining Sector</w:t>
        </w:r>
      </w:hyperlink>
    </w:p>
    <w:p w14:paraId="0B7C6E5E" w14:textId="0B624388" w:rsidR="009A0FE6" w:rsidRPr="009A0FE6" w:rsidRDefault="00461F99" w:rsidP="00007D5F">
      <w:pPr>
        <w:pStyle w:val="ListBullet2"/>
        <w:rPr>
          <w:rStyle w:val="Hyperlink"/>
          <w:rFonts w:eastAsiaTheme="majorEastAsia"/>
          <w:color w:val="auto"/>
        </w:rPr>
      </w:pPr>
      <w:hyperlink r:id="rId25" w:history="1">
        <w:r w:rsidR="008859DC" w:rsidRPr="009A0FE6">
          <w:rPr>
            <w:rStyle w:val="Hyperlink"/>
            <w:rFonts w:eastAsiaTheme="majorEastAsia"/>
          </w:rPr>
          <w:t xml:space="preserve">Petroleum and Geothermal Energy Sector </w:t>
        </w:r>
      </w:hyperlink>
    </w:p>
    <w:p w14:paraId="53A72BED" w14:textId="77777777" w:rsidR="00BD5E20" w:rsidRPr="00BD5E20" w:rsidRDefault="00BD5E20" w:rsidP="00BD5E20">
      <w:pPr>
        <w:pStyle w:val="Heading2"/>
      </w:pPr>
      <w:bookmarkStart w:id="12" w:name="_Toc17104598"/>
      <w:r w:rsidRPr="00BD5E20">
        <w:t>Commission for Occupational Safety and Health</w:t>
      </w:r>
      <w:bookmarkEnd w:id="12"/>
      <w:r w:rsidRPr="00BD5E20">
        <w:t xml:space="preserve"> </w:t>
      </w:r>
    </w:p>
    <w:p w14:paraId="4F4D0DDF" w14:textId="0B41BB29" w:rsidR="00BD5E20" w:rsidRDefault="00BD5E20" w:rsidP="00BD5E20">
      <w:pPr>
        <w:rPr>
          <w:rFonts w:ascii="Arial" w:hAnsi="Arial" w:cs="Arial"/>
        </w:rPr>
      </w:pPr>
      <w:r>
        <w:rPr>
          <w:rFonts w:ascii="Arial" w:hAnsi="Arial" w:cs="Arial"/>
        </w:rPr>
        <w:t>The Commission for Occupational Safety and Health (Commission) is an independent tripartite body, whose members are appointed by the Minister for Mines and Petroleum; Industrial Relations (Minister). It is the peak consultative forum on occupational safety and health in Western Australia.  The Commission’s membership consists of union, industry, government and expert members, the WorkSafe Western Australia Commissioner and an independent Chairperson appointed by the Minister for Industrial Relations.</w:t>
      </w:r>
    </w:p>
    <w:p w14:paraId="73B5CDE3" w14:textId="77777777" w:rsidR="00BD5E20" w:rsidRDefault="00BD5E20" w:rsidP="00BD5E20">
      <w:pPr>
        <w:rPr>
          <w:rFonts w:ascii="Arial" w:hAnsi="Arial" w:cs="Arial"/>
        </w:rPr>
      </w:pPr>
    </w:p>
    <w:p w14:paraId="5A19F7A1" w14:textId="77777777" w:rsidR="00BD5E20" w:rsidRDefault="00BD5E20" w:rsidP="00BD5E20">
      <w:pPr>
        <w:rPr>
          <w:rFonts w:ascii="Arial" w:hAnsi="Arial" w:cs="Arial"/>
          <w:lang w:eastAsia="en-AU"/>
        </w:rPr>
      </w:pPr>
      <w:r>
        <w:rPr>
          <w:rFonts w:ascii="Arial" w:hAnsi="Arial" w:cs="Arial"/>
          <w:lang w:eastAsia="en-AU"/>
        </w:rPr>
        <w:t>The Commission has endorsed consideration of some WHS regulations for Western Australia being amended to be consistent with the OSH regulations.  The following four WHS regulations are identified for consideration in this publication:</w:t>
      </w:r>
    </w:p>
    <w:p w14:paraId="313DD09A" w14:textId="77777777" w:rsidR="00BD5E20" w:rsidRPr="004C4C16" w:rsidRDefault="00BD5E20" w:rsidP="00BD5E20">
      <w:pPr>
        <w:pStyle w:val="ListNumber"/>
        <w:numPr>
          <w:ilvl w:val="0"/>
          <w:numId w:val="35"/>
        </w:numPr>
        <w:rPr>
          <w:lang w:eastAsia="en-AU"/>
        </w:rPr>
      </w:pPr>
      <w:r w:rsidRPr="004C4C16">
        <w:rPr>
          <w:lang w:eastAsia="en-AU"/>
        </w:rPr>
        <w:t>R. 5 – Definitions, Confined space</w:t>
      </w:r>
      <w:r>
        <w:rPr>
          <w:lang w:eastAsia="en-AU"/>
        </w:rPr>
        <w:t xml:space="preserve">; </w:t>
      </w:r>
    </w:p>
    <w:p w14:paraId="2B787A1D" w14:textId="556BE9E3" w:rsidR="00BD5E20" w:rsidRPr="004C4C16" w:rsidRDefault="00BD5E20" w:rsidP="007136F3">
      <w:pPr>
        <w:pStyle w:val="ListNumber"/>
        <w:numPr>
          <w:ilvl w:val="0"/>
          <w:numId w:val="35"/>
        </w:numPr>
        <w:rPr>
          <w:lang w:eastAsia="en-AU"/>
        </w:rPr>
      </w:pPr>
      <w:r w:rsidRPr="004C4C16">
        <w:rPr>
          <w:lang w:eastAsia="en-AU"/>
        </w:rPr>
        <w:t>R. 221</w:t>
      </w:r>
      <w:r w:rsidR="007136F3">
        <w:rPr>
          <w:lang w:eastAsia="en-AU"/>
        </w:rPr>
        <w:t xml:space="preserve"> –</w:t>
      </w:r>
      <w:r w:rsidRPr="004C4C16">
        <w:rPr>
          <w:lang w:eastAsia="en-AU"/>
        </w:rPr>
        <w:t xml:space="preserve"> Plant used in connection with tree lopping</w:t>
      </w:r>
      <w:r>
        <w:rPr>
          <w:lang w:eastAsia="en-AU"/>
        </w:rPr>
        <w:t xml:space="preserve">; </w:t>
      </w:r>
    </w:p>
    <w:p w14:paraId="47F18007" w14:textId="08C108E7" w:rsidR="00BD5E20" w:rsidRPr="004C4C16" w:rsidRDefault="00BD5E20" w:rsidP="00BD5E20">
      <w:pPr>
        <w:pStyle w:val="ListNumber"/>
        <w:numPr>
          <w:ilvl w:val="0"/>
          <w:numId w:val="35"/>
        </w:numPr>
        <w:rPr>
          <w:lang w:eastAsia="en-AU"/>
        </w:rPr>
      </w:pPr>
      <w:r w:rsidRPr="004C4C16">
        <w:rPr>
          <w:lang w:eastAsia="en-AU"/>
        </w:rPr>
        <w:t>R. 244</w:t>
      </w:r>
      <w:r w:rsidR="007136F3">
        <w:rPr>
          <w:lang w:eastAsia="en-AU"/>
        </w:rPr>
        <w:t xml:space="preserve"> –</w:t>
      </w:r>
      <w:r w:rsidRPr="004C4C16">
        <w:rPr>
          <w:lang w:eastAsia="en-AU"/>
        </w:rPr>
        <w:t xml:space="preserve"> Altered plant designs to be registered</w:t>
      </w:r>
      <w:r>
        <w:rPr>
          <w:lang w:eastAsia="en-AU"/>
        </w:rPr>
        <w:t>; and</w:t>
      </w:r>
    </w:p>
    <w:p w14:paraId="16C9700D" w14:textId="34FCDA6A" w:rsidR="00BD5E20" w:rsidRPr="00D3798F" w:rsidRDefault="007136F3" w:rsidP="00BD5E20">
      <w:pPr>
        <w:pStyle w:val="ListNumber"/>
        <w:numPr>
          <w:ilvl w:val="0"/>
          <w:numId w:val="35"/>
        </w:numPr>
        <w:rPr>
          <w:lang w:eastAsia="en-AU"/>
        </w:rPr>
      </w:pPr>
      <w:r>
        <w:t>R. 376</w:t>
      </w:r>
      <w:r>
        <w:rPr>
          <w:lang w:eastAsia="en-AU"/>
        </w:rPr>
        <w:t xml:space="preserve"> –</w:t>
      </w:r>
      <w:r w:rsidRPr="004C4C16">
        <w:rPr>
          <w:lang w:eastAsia="en-AU"/>
        </w:rPr>
        <w:t xml:space="preserve"> </w:t>
      </w:r>
      <w:r w:rsidR="00BD5E20" w:rsidRPr="00D3798F">
        <w:t>Duty to give a health monitoring report to the regulator</w:t>
      </w:r>
      <w:r w:rsidR="00BD5E20">
        <w:t xml:space="preserve">.  </w:t>
      </w:r>
    </w:p>
    <w:p w14:paraId="0B50693B" w14:textId="77777777" w:rsidR="00BD5E20" w:rsidRDefault="00BD5E20" w:rsidP="00BD5E20">
      <w:pPr>
        <w:rPr>
          <w:rFonts w:ascii="Arial" w:hAnsi="Arial" w:cs="Arial"/>
          <w:lang w:eastAsia="en-AU"/>
        </w:rPr>
      </w:pPr>
    </w:p>
    <w:p w14:paraId="1DD17A35" w14:textId="77777777" w:rsidR="00EF3DCC" w:rsidRDefault="00BD5E20" w:rsidP="00EF3DCC">
      <w:pPr>
        <w:rPr>
          <w:rFonts w:ascii="Arial" w:hAnsi="Arial" w:cs="Arial"/>
          <w:lang w:eastAsia="en-AU"/>
        </w:rPr>
      </w:pPr>
      <w:r>
        <w:rPr>
          <w:rFonts w:ascii="Arial" w:hAnsi="Arial" w:cs="Arial"/>
          <w:lang w:eastAsia="en-AU"/>
        </w:rPr>
        <w:t xml:space="preserve">The endorsement does not necessarily reflect the view of individual members of the Commission.  </w:t>
      </w:r>
      <w:bookmarkStart w:id="13" w:name="_Toc17104599"/>
    </w:p>
    <w:p w14:paraId="1725675D" w14:textId="77777777" w:rsidR="00EF3DCC" w:rsidRDefault="00EF3DCC" w:rsidP="00EF3DCC">
      <w:pPr>
        <w:rPr>
          <w:rFonts w:ascii="Arial" w:hAnsi="Arial" w:cs="Arial"/>
          <w:lang w:eastAsia="en-AU"/>
        </w:rPr>
      </w:pPr>
    </w:p>
    <w:p w14:paraId="6660D590" w14:textId="77777777" w:rsidR="00EF3DCC" w:rsidRDefault="00EF3DCC" w:rsidP="00EF3DCC">
      <w:pPr>
        <w:rPr>
          <w:rFonts w:ascii="Arial" w:hAnsi="Arial" w:cs="Arial"/>
          <w:lang w:eastAsia="en-AU"/>
        </w:rPr>
      </w:pPr>
    </w:p>
    <w:p w14:paraId="588D1758" w14:textId="77777777" w:rsidR="00EF3DCC" w:rsidRDefault="00EF3DCC" w:rsidP="00EF3DCC">
      <w:pPr>
        <w:rPr>
          <w:rFonts w:ascii="Arial" w:hAnsi="Arial" w:cs="Arial"/>
          <w:lang w:eastAsia="en-AU"/>
        </w:rPr>
      </w:pPr>
    </w:p>
    <w:p w14:paraId="11908F43" w14:textId="77777777" w:rsidR="00EF3DCC" w:rsidRDefault="00EF3DCC" w:rsidP="00EF3DCC">
      <w:pPr>
        <w:rPr>
          <w:rFonts w:ascii="Arial" w:hAnsi="Arial" w:cs="Arial"/>
          <w:lang w:eastAsia="en-AU"/>
        </w:rPr>
      </w:pPr>
    </w:p>
    <w:p w14:paraId="76C3567E" w14:textId="77777777" w:rsidR="00EF3DCC" w:rsidRDefault="00EF3DCC" w:rsidP="00EF3DCC">
      <w:pPr>
        <w:rPr>
          <w:rFonts w:ascii="Arial" w:hAnsi="Arial" w:cs="Arial"/>
          <w:lang w:eastAsia="en-AU"/>
        </w:rPr>
      </w:pPr>
    </w:p>
    <w:p w14:paraId="45B7B666" w14:textId="77777777" w:rsidR="00EF3DCC" w:rsidRDefault="00EF3DCC" w:rsidP="00EF3DCC">
      <w:pPr>
        <w:rPr>
          <w:rFonts w:ascii="Arial" w:hAnsi="Arial" w:cs="Arial"/>
          <w:lang w:eastAsia="en-AU"/>
        </w:rPr>
      </w:pPr>
    </w:p>
    <w:p w14:paraId="0F848DB4" w14:textId="77777777" w:rsidR="00EF3DCC" w:rsidRDefault="00EF3DCC" w:rsidP="00EF3DCC">
      <w:pPr>
        <w:rPr>
          <w:rFonts w:ascii="Arial" w:hAnsi="Arial" w:cs="Arial"/>
          <w:lang w:eastAsia="en-AU"/>
        </w:rPr>
      </w:pPr>
    </w:p>
    <w:p w14:paraId="59C52682" w14:textId="77777777" w:rsidR="00EF3DCC" w:rsidRDefault="00EF3DCC" w:rsidP="00EF3DCC">
      <w:pPr>
        <w:rPr>
          <w:rFonts w:ascii="Arial" w:hAnsi="Arial" w:cs="Arial"/>
          <w:lang w:eastAsia="en-AU"/>
        </w:rPr>
      </w:pPr>
    </w:p>
    <w:p w14:paraId="3AEF2422" w14:textId="77777777" w:rsidR="00EF3DCC" w:rsidRDefault="00EF3DCC" w:rsidP="00EF3DCC">
      <w:pPr>
        <w:rPr>
          <w:rFonts w:ascii="Arial" w:hAnsi="Arial" w:cs="Arial"/>
          <w:lang w:eastAsia="en-AU"/>
        </w:rPr>
      </w:pPr>
    </w:p>
    <w:p w14:paraId="1CCCA7E8" w14:textId="77777777" w:rsidR="00EF3DCC" w:rsidRDefault="00EF3DCC" w:rsidP="00EF3DCC">
      <w:pPr>
        <w:rPr>
          <w:rFonts w:ascii="Arial" w:hAnsi="Arial" w:cs="Arial"/>
          <w:lang w:eastAsia="en-AU"/>
        </w:rPr>
      </w:pPr>
    </w:p>
    <w:p w14:paraId="78840587" w14:textId="007ED561" w:rsidR="007E4463" w:rsidRPr="00EF3DCC" w:rsidRDefault="007E4463" w:rsidP="00EF3DCC">
      <w:pPr>
        <w:pStyle w:val="Heading2"/>
        <w:rPr>
          <w:sz w:val="24"/>
        </w:rPr>
      </w:pPr>
      <w:r w:rsidRPr="00EF3DCC">
        <w:rPr>
          <w:sz w:val="24"/>
        </w:rPr>
        <w:lastRenderedPageBreak/>
        <w:t xml:space="preserve">Comparison Table – </w:t>
      </w:r>
      <w:r w:rsidR="00FF676F" w:rsidRPr="00EF3DCC">
        <w:rPr>
          <w:rStyle w:val="Heading3Char"/>
          <w:b/>
          <w:sz w:val="24"/>
        </w:rPr>
        <w:t>Differences b</w:t>
      </w:r>
      <w:r w:rsidRPr="00EF3DCC">
        <w:rPr>
          <w:rStyle w:val="Heading3Char"/>
          <w:b/>
          <w:sz w:val="24"/>
        </w:rPr>
        <w:t>etween the National Model Work Health and Safety Regulations 201</w:t>
      </w:r>
      <w:r w:rsidR="00FF676F" w:rsidRPr="00EF3DCC">
        <w:rPr>
          <w:rStyle w:val="Heading3Char"/>
          <w:b/>
          <w:sz w:val="24"/>
        </w:rPr>
        <w:t>9</w:t>
      </w:r>
      <w:r w:rsidRPr="00EF3DCC">
        <w:rPr>
          <w:rStyle w:val="Heading3Char"/>
          <w:b/>
          <w:sz w:val="24"/>
        </w:rPr>
        <w:t xml:space="preserve"> and the Occupational Safety and Health Regulations 1996</w:t>
      </w:r>
      <w:bookmarkEnd w:id="13"/>
    </w:p>
    <w:tbl>
      <w:tblPr>
        <w:tblStyle w:val="TableGrid"/>
        <w:tblpPr w:leftFromText="181" w:rightFromText="181" w:vertAnchor="text" w:tblpY="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62"/>
        <w:gridCol w:w="3365"/>
        <w:gridCol w:w="2962"/>
      </w:tblGrid>
      <w:tr w:rsidR="00562632" w:rsidRPr="00C56304" w14:paraId="72B289D1" w14:textId="77777777" w:rsidTr="00EF3DCC">
        <w:trPr>
          <w:trHeight w:val="412"/>
          <w:tblHeader/>
        </w:trPr>
        <w:tc>
          <w:tcPr>
            <w:tcW w:w="2962" w:type="dxa"/>
            <w:shd w:val="clear" w:color="auto" w:fill="006B6E"/>
            <w:vAlign w:val="center"/>
          </w:tcPr>
          <w:bookmarkEnd w:id="7"/>
          <w:bookmarkEnd w:id="8"/>
          <w:bookmarkEnd w:id="9"/>
          <w:p w14:paraId="72B289CE" w14:textId="77777777" w:rsidR="00562632" w:rsidRPr="00AD6D48" w:rsidRDefault="00562632" w:rsidP="00EF3DCC">
            <w:pPr>
              <w:pStyle w:val="Heading1"/>
              <w:outlineLvl w:val="0"/>
              <w:rPr>
                <w:b w:val="0"/>
                <w:color w:val="FFFFFF" w:themeColor="background1"/>
                <w:sz w:val="20"/>
              </w:rPr>
            </w:pPr>
            <w:r>
              <w:rPr>
                <w:rFonts w:eastAsia="Times New Roman"/>
                <w:color w:val="000000"/>
                <w:lang w:eastAsia="en-AU"/>
              </w:rPr>
              <w:lastRenderedPageBreak/>
              <w:br w:type="column"/>
            </w:r>
          </w:p>
        </w:tc>
        <w:tc>
          <w:tcPr>
            <w:tcW w:w="3365" w:type="dxa"/>
            <w:shd w:val="clear" w:color="auto" w:fill="006B6E"/>
          </w:tcPr>
          <w:p w14:paraId="72B289CF" w14:textId="77777777" w:rsidR="00562632" w:rsidRPr="00AD6D48" w:rsidRDefault="00562632" w:rsidP="00EF3DCC">
            <w:pPr>
              <w:pStyle w:val="NoSpacing"/>
              <w:jc w:val="center"/>
              <w:rPr>
                <w:rFonts w:eastAsia="Times New Roman" w:cs="Arial"/>
                <w:b/>
                <w:color w:val="FFFFFF" w:themeColor="background1"/>
                <w:sz w:val="22"/>
                <w:szCs w:val="24"/>
                <w:lang w:eastAsia="en-AU"/>
              </w:rPr>
            </w:pPr>
            <w:r w:rsidRPr="00AD6D48">
              <w:rPr>
                <w:rFonts w:eastAsia="Times New Roman" w:cs="Arial"/>
                <w:b/>
                <w:color w:val="FFFFFF" w:themeColor="background1"/>
                <w:sz w:val="22"/>
                <w:szCs w:val="24"/>
                <w:lang w:eastAsia="en-AU"/>
              </w:rPr>
              <w:t>Model WHS Regulations</w:t>
            </w:r>
          </w:p>
        </w:tc>
        <w:tc>
          <w:tcPr>
            <w:tcW w:w="2962" w:type="dxa"/>
            <w:shd w:val="clear" w:color="auto" w:fill="006B6E"/>
          </w:tcPr>
          <w:p w14:paraId="72B289D0" w14:textId="77777777" w:rsidR="00562632" w:rsidRPr="00AD6D48" w:rsidRDefault="00562632" w:rsidP="00EF3DCC">
            <w:pPr>
              <w:pStyle w:val="NoSpacing"/>
              <w:jc w:val="center"/>
              <w:rPr>
                <w:rFonts w:eastAsia="Times New Roman" w:cs="Arial"/>
                <w:b/>
                <w:color w:val="FFFFFF" w:themeColor="background1"/>
                <w:sz w:val="22"/>
                <w:szCs w:val="24"/>
                <w:lang w:eastAsia="en-AU"/>
              </w:rPr>
            </w:pPr>
            <w:r w:rsidRPr="00AD6D48">
              <w:rPr>
                <w:rFonts w:eastAsia="Times New Roman" w:cs="Arial"/>
                <w:b/>
                <w:color w:val="FFFFFF" w:themeColor="background1"/>
                <w:sz w:val="22"/>
                <w:szCs w:val="24"/>
                <w:lang w:eastAsia="en-AU"/>
              </w:rPr>
              <w:t>OSH Regulations</w:t>
            </w:r>
          </w:p>
        </w:tc>
      </w:tr>
      <w:tr w:rsidR="00562632" w:rsidRPr="00C56672" w14:paraId="72B289D3" w14:textId="77777777" w:rsidTr="00EF3DCC">
        <w:trPr>
          <w:trHeight w:val="392"/>
          <w:tblHeader/>
        </w:trPr>
        <w:tc>
          <w:tcPr>
            <w:tcW w:w="9289" w:type="dxa"/>
            <w:gridSpan w:val="3"/>
            <w:shd w:val="clear" w:color="auto" w:fill="006B6E"/>
            <w:vAlign w:val="center"/>
          </w:tcPr>
          <w:p w14:paraId="72B289D2" w14:textId="77777777" w:rsidR="00562632" w:rsidRPr="00C56672" w:rsidRDefault="00562632" w:rsidP="00EF3DCC">
            <w:pPr>
              <w:pStyle w:val="Heading1"/>
              <w:spacing w:before="0"/>
              <w:outlineLvl w:val="0"/>
              <w:rPr>
                <w:color w:val="FFFFFF" w:themeColor="background1"/>
                <w:sz w:val="24"/>
                <w:szCs w:val="22"/>
              </w:rPr>
            </w:pPr>
            <w:bookmarkStart w:id="14" w:name="_Toc17104600"/>
            <w:r>
              <w:rPr>
                <w:color w:val="FFFFFF" w:themeColor="background1"/>
                <w:sz w:val="22"/>
                <w:szCs w:val="22"/>
              </w:rPr>
              <w:t>Chapter o</w:t>
            </w:r>
            <w:r w:rsidRPr="00ED3E33">
              <w:rPr>
                <w:color w:val="FFFFFF" w:themeColor="background1"/>
                <w:sz w:val="22"/>
                <w:szCs w:val="22"/>
              </w:rPr>
              <w:t>ne – Preliminary</w:t>
            </w:r>
            <w:bookmarkEnd w:id="14"/>
          </w:p>
        </w:tc>
      </w:tr>
      <w:tr w:rsidR="00562632" w:rsidRPr="00C56304" w14:paraId="72B289D9" w14:textId="77777777" w:rsidTr="00EF3DCC">
        <w:trPr>
          <w:tblHeader/>
        </w:trPr>
        <w:tc>
          <w:tcPr>
            <w:tcW w:w="2962" w:type="dxa"/>
          </w:tcPr>
          <w:p w14:paraId="72B289D4" w14:textId="77777777" w:rsidR="00562632" w:rsidRPr="00C56304" w:rsidRDefault="00562632" w:rsidP="00EF3DCC">
            <w:pPr>
              <w:pStyle w:val="Heading2"/>
              <w:numPr>
                <w:ilvl w:val="0"/>
                <w:numId w:val="37"/>
              </w:numPr>
              <w:ind w:left="455"/>
              <w:outlineLvl w:val="1"/>
              <w:rPr>
                <w:sz w:val="20"/>
                <w:szCs w:val="20"/>
              </w:rPr>
            </w:pPr>
            <w:bookmarkStart w:id="15" w:name="_Toc451257389"/>
            <w:bookmarkStart w:id="16" w:name="_Toc451422110"/>
            <w:bookmarkStart w:id="17" w:name="_Toc451437323"/>
            <w:bookmarkStart w:id="18" w:name="_Toc4661827"/>
            <w:bookmarkStart w:id="19" w:name="_Toc17104601"/>
            <w:r w:rsidRPr="00C56304">
              <w:rPr>
                <w:sz w:val="20"/>
                <w:szCs w:val="20"/>
              </w:rPr>
              <w:t>Commencement date</w:t>
            </w:r>
            <w:bookmarkEnd w:id="15"/>
            <w:bookmarkEnd w:id="16"/>
            <w:bookmarkEnd w:id="17"/>
            <w:bookmarkEnd w:id="18"/>
            <w:bookmarkEnd w:id="19"/>
          </w:p>
          <w:p w14:paraId="72B289D5" w14:textId="77777777" w:rsidR="00562632" w:rsidRPr="00C56304" w:rsidRDefault="00562632" w:rsidP="00EF3DCC">
            <w:pPr>
              <w:pStyle w:val="Heading1"/>
              <w:ind w:left="455"/>
              <w:outlineLvl w:val="0"/>
              <w:rPr>
                <w:sz w:val="20"/>
                <w:szCs w:val="20"/>
              </w:rPr>
            </w:pPr>
          </w:p>
        </w:tc>
        <w:tc>
          <w:tcPr>
            <w:tcW w:w="3365" w:type="dxa"/>
          </w:tcPr>
          <w:p w14:paraId="72B289D6" w14:textId="77777777" w:rsidR="00562632" w:rsidRPr="00C56304" w:rsidRDefault="00562632" w:rsidP="00EF3DCC">
            <w:pPr>
              <w:pStyle w:val="NoSpacing"/>
              <w:jc w:val="left"/>
              <w:rPr>
                <w:rFonts w:cs="Arial"/>
                <w:sz w:val="20"/>
                <w:szCs w:val="20"/>
              </w:rPr>
            </w:pPr>
            <w:r w:rsidRPr="00C56304">
              <w:rPr>
                <w:rFonts w:cs="Arial"/>
                <w:sz w:val="20"/>
                <w:szCs w:val="20"/>
              </w:rPr>
              <w:t>R. 2 specifies a commencement date for the regulations.  The date specified will be modified appropriately when a commencement date is determined by the Government of Western Australia.</w:t>
            </w:r>
          </w:p>
          <w:p w14:paraId="72B289D7" w14:textId="77777777" w:rsidR="00562632" w:rsidRPr="00C56304" w:rsidRDefault="00562632" w:rsidP="00EF3DCC">
            <w:pPr>
              <w:pStyle w:val="NoSpacing"/>
              <w:jc w:val="left"/>
              <w:rPr>
                <w:rFonts w:eastAsia="Times New Roman" w:cs="Arial"/>
                <w:color w:val="000000"/>
                <w:sz w:val="20"/>
                <w:szCs w:val="20"/>
                <w:lang w:eastAsia="en-AU"/>
              </w:rPr>
            </w:pPr>
            <w:r w:rsidRPr="00C56304">
              <w:rPr>
                <w:rFonts w:cs="Arial"/>
                <w:sz w:val="20"/>
                <w:szCs w:val="20"/>
              </w:rPr>
              <w:t>Sub-regulation 2(2) provides a later starting date for r. 164 (</w:t>
            </w:r>
            <w:r w:rsidRPr="00C56304">
              <w:rPr>
                <w:rFonts w:eastAsia="Times New Roman" w:cs="Arial"/>
                <w:color w:val="000000"/>
                <w:sz w:val="20"/>
                <w:szCs w:val="20"/>
                <w:lang w:eastAsia="en-AU"/>
              </w:rPr>
              <w:t xml:space="preserve">residual current devices in hostile operating environments).  This option was provided for jurisdictions that did not have these requirements previously.  Regulation 164 describes circumstances where a “hostile operating environment exists”.  </w:t>
            </w:r>
          </w:p>
        </w:tc>
        <w:tc>
          <w:tcPr>
            <w:tcW w:w="2962" w:type="dxa"/>
          </w:tcPr>
          <w:p w14:paraId="72B289D8" w14:textId="77777777" w:rsidR="00562632" w:rsidRPr="00C56304" w:rsidRDefault="00562632" w:rsidP="00EF3DCC">
            <w:pPr>
              <w:pStyle w:val="NoSpacing"/>
              <w:jc w:val="left"/>
              <w:rPr>
                <w:rFonts w:eastAsia="Times New Roman" w:cs="Arial"/>
                <w:color w:val="000000"/>
                <w:sz w:val="20"/>
                <w:szCs w:val="20"/>
                <w:lang w:eastAsia="en-AU"/>
              </w:rPr>
            </w:pPr>
            <w:r w:rsidRPr="00C56304">
              <w:rPr>
                <w:rFonts w:eastAsia="Times New Roman" w:cs="Arial"/>
                <w:color w:val="000000"/>
                <w:sz w:val="20"/>
                <w:szCs w:val="20"/>
                <w:lang w:eastAsia="en-AU"/>
              </w:rPr>
              <w:t xml:space="preserve">Already includes requirements </w:t>
            </w:r>
            <w:r w:rsidRPr="00C56304">
              <w:rPr>
                <w:rFonts w:eastAsia="Times New Roman" w:cs="Arial"/>
                <w:sz w:val="20"/>
                <w:szCs w:val="20"/>
                <w:lang w:eastAsia="en-AU"/>
              </w:rPr>
              <w:t xml:space="preserve">for residual current devices </w:t>
            </w:r>
            <w:r w:rsidRPr="00C56304">
              <w:rPr>
                <w:rFonts w:eastAsia="Times New Roman" w:cs="Arial"/>
                <w:color w:val="000000"/>
                <w:sz w:val="20"/>
                <w:szCs w:val="20"/>
                <w:lang w:eastAsia="en-AU"/>
              </w:rPr>
              <w:t xml:space="preserve">under r. 3.60.  However, the requirement in the OSH regulations is not limited to circumstances where a “hostile operating environment exists”.  </w:t>
            </w:r>
          </w:p>
        </w:tc>
      </w:tr>
      <w:tr w:rsidR="00562632" w:rsidRPr="00C56304" w14:paraId="72B289DE" w14:textId="77777777" w:rsidTr="00EF3DCC">
        <w:trPr>
          <w:tblHeader/>
        </w:trPr>
        <w:tc>
          <w:tcPr>
            <w:tcW w:w="2962" w:type="dxa"/>
          </w:tcPr>
          <w:p w14:paraId="72B289DA" w14:textId="77777777" w:rsidR="00562632" w:rsidRPr="00C56304" w:rsidRDefault="00562632" w:rsidP="00EF3DCC">
            <w:pPr>
              <w:pStyle w:val="Heading2"/>
              <w:numPr>
                <w:ilvl w:val="0"/>
                <w:numId w:val="37"/>
              </w:numPr>
              <w:ind w:left="455"/>
              <w:outlineLvl w:val="1"/>
              <w:rPr>
                <w:sz w:val="20"/>
                <w:szCs w:val="20"/>
              </w:rPr>
            </w:pPr>
            <w:bookmarkStart w:id="20" w:name="_Toc451257387"/>
            <w:bookmarkStart w:id="21" w:name="_Toc451422108"/>
            <w:bookmarkStart w:id="22" w:name="_Toc451437321"/>
            <w:bookmarkStart w:id="23" w:name="_Toc4661828"/>
            <w:bookmarkStart w:id="24" w:name="_Toc17104602"/>
            <w:r w:rsidRPr="00C56304">
              <w:rPr>
                <w:sz w:val="20"/>
                <w:szCs w:val="20"/>
              </w:rPr>
              <w:t>Requirement for regulator to provide a response within 14 days</w:t>
            </w:r>
            <w:bookmarkEnd w:id="20"/>
            <w:bookmarkEnd w:id="21"/>
            <w:bookmarkEnd w:id="22"/>
            <w:bookmarkEnd w:id="23"/>
            <w:bookmarkEnd w:id="24"/>
          </w:p>
          <w:p w14:paraId="72B289DB" w14:textId="77777777" w:rsidR="00562632" w:rsidRPr="00C56304" w:rsidRDefault="00562632" w:rsidP="00EF3DCC">
            <w:pPr>
              <w:pStyle w:val="Heading2"/>
              <w:ind w:left="455"/>
              <w:outlineLvl w:val="1"/>
              <w:rPr>
                <w:sz w:val="20"/>
                <w:szCs w:val="20"/>
              </w:rPr>
            </w:pPr>
          </w:p>
        </w:tc>
        <w:tc>
          <w:tcPr>
            <w:tcW w:w="3365" w:type="dxa"/>
          </w:tcPr>
          <w:p w14:paraId="72B289DC" w14:textId="77777777" w:rsidR="00562632" w:rsidRPr="00C56304" w:rsidRDefault="00562632" w:rsidP="00EF3DCC">
            <w:pPr>
              <w:pStyle w:val="NoSpacing"/>
              <w:jc w:val="left"/>
              <w:rPr>
                <w:rFonts w:cs="Arial"/>
                <w:sz w:val="20"/>
                <w:szCs w:val="20"/>
              </w:rPr>
            </w:pPr>
            <w:r w:rsidRPr="00C56304">
              <w:rPr>
                <w:rFonts w:cs="Arial"/>
                <w:sz w:val="20"/>
                <w:szCs w:val="20"/>
              </w:rPr>
              <w:t xml:space="preserve">The model WHS regulations require the regulator to advise an applicant within </w:t>
            </w:r>
            <w:r w:rsidRPr="00C56304">
              <w:rPr>
                <w:rFonts w:cs="Arial"/>
                <w:sz w:val="20"/>
                <w:szCs w:val="20"/>
              </w:rPr>
              <w:br w:type="textWrapping" w:clear="all"/>
              <w:t xml:space="preserve">14 days in relation to decisions for authorisation, and some review matters.  Examples include r. 89(4), r. 91(2)(c), r. 96 and others.  </w:t>
            </w:r>
          </w:p>
        </w:tc>
        <w:tc>
          <w:tcPr>
            <w:tcW w:w="2962" w:type="dxa"/>
          </w:tcPr>
          <w:p w14:paraId="72B289DD" w14:textId="77777777" w:rsidR="00562632" w:rsidRPr="00C56304" w:rsidRDefault="00562632" w:rsidP="00EF3DCC">
            <w:pPr>
              <w:pStyle w:val="NoSpacing"/>
              <w:jc w:val="left"/>
              <w:rPr>
                <w:rFonts w:eastAsia="Times New Roman" w:cs="Arial"/>
                <w:color w:val="000000"/>
                <w:sz w:val="20"/>
                <w:szCs w:val="20"/>
                <w:lang w:eastAsia="en-AU"/>
              </w:rPr>
            </w:pPr>
            <w:r w:rsidRPr="00C56304">
              <w:rPr>
                <w:rFonts w:cs="Arial"/>
                <w:sz w:val="20"/>
                <w:szCs w:val="20"/>
              </w:rPr>
              <w:t xml:space="preserve">The OSH regulations do not impose a fixed time on the Commissioner for a response.  However, </w:t>
            </w:r>
            <w:r w:rsidRPr="00C56304">
              <w:rPr>
                <w:rFonts w:eastAsia="Times New Roman" w:cs="Arial"/>
                <w:color w:val="000000"/>
                <w:sz w:val="20"/>
                <w:szCs w:val="20"/>
                <w:lang w:eastAsia="en-AU"/>
              </w:rPr>
              <w:t xml:space="preserve">section 63 of Western Australia’s </w:t>
            </w:r>
            <w:r w:rsidRPr="00C56304">
              <w:rPr>
                <w:rFonts w:eastAsia="Times New Roman" w:cs="Arial"/>
                <w:i/>
                <w:color w:val="000000"/>
                <w:sz w:val="20"/>
                <w:szCs w:val="20"/>
                <w:lang w:eastAsia="en-AU"/>
              </w:rPr>
              <w:t>Interpretation Act 1984</w:t>
            </w:r>
            <w:r w:rsidRPr="00C56304">
              <w:rPr>
                <w:rFonts w:eastAsia="Times New Roman" w:cs="Arial"/>
                <w:color w:val="000000"/>
                <w:sz w:val="20"/>
                <w:szCs w:val="20"/>
                <w:lang w:eastAsia="en-AU"/>
              </w:rPr>
              <w:t xml:space="preserve"> requires a decision to be made ‘with all convenient speed and as often as occasion arises’.  </w:t>
            </w:r>
          </w:p>
        </w:tc>
      </w:tr>
      <w:tr w:rsidR="00562632" w:rsidRPr="00C56304" w14:paraId="72B289E4" w14:textId="77777777" w:rsidTr="00EF3DCC">
        <w:trPr>
          <w:tblHeader/>
        </w:trPr>
        <w:tc>
          <w:tcPr>
            <w:tcW w:w="2962" w:type="dxa"/>
          </w:tcPr>
          <w:p w14:paraId="72B289DF" w14:textId="77777777" w:rsidR="00562632" w:rsidRPr="00C56304" w:rsidRDefault="00562632" w:rsidP="00EF3DCC">
            <w:pPr>
              <w:pStyle w:val="Heading2"/>
              <w:numPr>
                <w:ilvl w:val="0"/>
                <w:numId w:val="37"/>
              </w:numPr>
              <w:ind w:left="455"/>
              <w:outlineLvl w:val="1"/>
              <w:rPr>
                <w:sz w:val="20"/>
                <w:szCs w:val="20"/>
              </w:rPr>
            </w:pPr>
            <w:bookmarkStart w:id="25" w:name="_Toc4661829"/>
            <w:bookmarkStart w:id="26" w:name="_Toc17104603"/>
            <w:r w:rsidRPr="00C56304">
              <w:rPr>
                <w:sz w:val="20"/>
                <w:szCs w:val="20"/>
              </w:rPr>
              <w:t>Definition (r. 5) – accredited assessor</w:t>
            </w:r>
            <w:bookmarkEnd w:id="25"/>
            <w:bookmarkEnd w:id="26"/>
          </w:p>
          <w:p w14:paraId="72B289E0" w14:textId="77777777" w:rsidR="00562632" w:rsidRPr="00C56304" w:rsidRDefault="00562632" w:rsidP="00EF3DCC">
            <w:pPr>
              <w:pStyle w:val="Heading2"/>
              <w:ind w:left="455"/>
              <w:outlineLvl w:val="1"/>
              <w:rPr>
                <w:sz w:val="20"/>
                <w:szCs w:val="20"/>
              </w:rPr>
            </w:pPr>
          </w:p>
        </w:tc>
        <w:tc>
          <w:tcPr>
            <w:tcW w:w="3365" w:type="dxa"/>
          </w:tcPr>
          <w:p w14:paraId="72B289E1" w14:textId="77777777" w:rsidR="00562632" w:rsidRPr="00C56304" w:rsidRDefault="00562632" w:rsidP="00EF3DCC">
            <w:pPr>
              <w:pStyle w:val="NoSpacing"/>
              <w:jc w:val="left"/>
              <w:rPr>
                <w:rFonts w:cs="Arial"/>
                <w:sz w:val="20"/>
                <w:szCs w:val="20"/>
              </w:rPr>
            </w:pPr>
            <w:r w:rsidRPr="00C56304">
              <w:rPr>
                <w:rFonts w:cs="Arial"/>
                <w:sz w:val="20"/>
                <w:szCs w:val="20"/>
              </w:rPr>
              <w:t xml:space="preserve">Assessors for high risk work licences must be accredited to conduct High Risk Work Licence (HRWL) assessments (r. 113).  </w:t>
            </w:r>
          </w:p>
          <w:p w14:paraId="72B289E2" w14:textId="77777777" w:rsidR="00562632" w:rsidRPr="00C56304" w:rsidRDefault="00562632" w:rsidP="00EF3DCC">
            <w:pPr>
              <w:pStyle w:val="NoSpacing"/>
              <w:jc w:val="left"/>
              <w:rPr>
                <w:rFonts w:cs="Arial"/>
                <w:sz w:val="20"/>
                <w:szCs w:val="20"/>
              </w:rPr>
            </w:pPr>
            <w:r w:rsidRPr="00C56304">
              <w:rPr>
                <w:rFonts w:cs="Arial"/>
                <w:sz w:val="20"/>
                <w:szCs w:val="20"/>
              </w:rPr>
              <w:t xml:space="preserve">In some jurisdictions, the regulator may also be an </w:t>
            </w:r>
            <w:r w:rsidRPr="00C56304">
              <w:rPr>
                <w:rFonts w:cs="Arial"/>
                <w:b/>
                <w:i/>
                <w:sz w:val="20"/>
                <w:szCs w:val="20"/>
              </w:rPr>
              <w:t>accredited assessor</w:t>
            </w:r>
            <w:r w:rsidRPr="00C56304">
              <w:rPr>
                <w:rFonts w:cs="Arial"/>
                <w:sz w:val="20"/>
                <w:szCs w:val="20"/>
              </w:rPr>
              <w:t xml:space="preserve">.  This is not the case in Western Australia and a jurisdictional note provides that jurisdictions may remove the reference to the regulator (r. </w:t>
            </w:r>
            <w:r w:rsidRPr="00C56304">
              <w:rPr>
                <w:rFonts w:eastAsia="Times New Roman" w:cs="Arial"/>
                <w:color w:val="000000"/>
                <w:sz w:val="20"/>
                <w:szCs w:val="20"/>
                <w:lang w:eastAsia="en-AU"/>
              </w:rPr>
              <w:t xml:space="preserve">114(5)) </w:t>
            </w:r>
            <w:r w:rsidRPr="00C56304">
              <w:rPr>
                <w:rFonts w:cs="Arial"/>
                <w:sz w:val="20"/>
                <w:szCs w:val="20"/>
              </w:rPr>
              <w:t xml:space="preserve">as an </w:t>
            </w:r>
            <w:r w:rsidRPr="00C56304">
              <w:rPr>
                <w:rFonts w:cs="Arial"/>
                <w:b/>
                <w:i/>
                <w:sz w:val="20"/>
                <w:szCs w:val="20"/>
              </w:rPr>
              <w:t>accredited assessor</w:t>
            </w:r>
            <w:r w:rsidRPr="00C56304">
              <w:rPr>
                <w:rFonts w:cs="Arial"/>
                <w:sz w:val="20"/>
                <w:szCs w:val="20"/>
              </w:rPr>
              <w:t xml:space="preserve"> in the model WHS regulations.  </w:t>
            </w:r>
          </w:p>
        </w:tc>
        <w:tc>
          <w:tcPr>
            <w:tcW w:w="2962" w:type="dxa"/>
          </w:tcPr>
          <w:p w14:paraId="72B289E3" w14:textId="77777777" w:rsidR="00562632" w:rsidRPr="00C56304" w:rsidRDefault="00562632" w:rsidP="00EF3DCC">
            <w:pPr>
              <w:pStyle w:val="NoSpacing"/>
              <w:jc w:val="left"/>
              <w:rPr>
                <w:rFonts w:eastAsia="Times New Roman" w:cs="Arial"/>
                <w:color w:val="000000"/>
                <w:sz w:val="20"/>
                <w:szCs w:val="20"/>
                <w:lang w:eastAsia="en-AU"/>
              </w:rPr>
            </w:pPr>
            <w:r w:rsidRPr="00C56304">
              <w:rPr>
                <w:rFonts w:cs="Arial"/>
                <w:sz w:val="20"/>
                <w:szCs w:val="20"/>
              </w:rPr>
              <w:t>There is no equivalent authority for the regulator to be registered as an assessor for HRWL purposes.</w:t>
            </w:r>
          </w:p>
        </w:tc>
      </w:tr>
      <w:tr w:rsidR="00562632" w:rsidRPr="00C56304" w14:paraId="72B289E9" w14:textId="77777777" w:rsidTr="00EF3DCC">
        <w:trPr>
          <w:tblHeader/>
        </w:trPr>
        <w:tc>
          <w:tcPr>
            <w:tcW w:w="2962" w:type="dxa"/>
          </w:tcPr>
          <w:p w14:paraId="72B289E5" w14:textId="77777777" w:rsidR="00562632" w:rsidRPr="00C56304" w:rsidRDefault="00562632" w:rsidP="00EF3DCC">
            <w:pPr>
              <w:pStyle w:val="Heading2"/>
              <w:numPr>
                <w:ilvl w:val="0"/>
                <w:numId w:val="37"/>
              </w:numPr>
              <w:ind w:left="455"/>
              <w:outlineLvl w:val="1"/>
              <w:rPr>
                <w:sz w:val="20"/>
                <w:szCs w:val="20"/>
              </w:rPr>
            </w:pPr>
            <w:bookmarkStart w:id="27" w:name="_Toc451257369"/>
            <w:bookmarkStart w:id="28" w:name="_Toc451422088"/>
            <w:bookmarkStart w:id="29" w:name="_Toc451437301"/>
            <w:bookmarkStart w:id="30" w:name="_Toc4661830"/>
            <w:bookmarkStart w:id="31" w:name="_Toc17104604"/>
            <w:r w:rsidRPr="00C56304">
              <w:rPr>
                <w:sz w:val="20"/>
                <w:szCs w:val="20"/>
              </w:rPr>
              <w:t>Boilers - Definitions</w:t>
            </w:r>
            <w:bookmarkEnd w:id="27"/>
            <w:bookmarkEnd w:id="28"/>
            <w:bookmarkEnd w:id="29"/>
            <w:bookmarkEnd w:id="30"/>
            <w:bookmarkEnd w:id="31"/>
          </w:p>
          <w:p w14:paraId="72B289E6" w14:textId="77777777" w:rsidR="00562632" w:rsidRPr="00C56304" w:rsidRDefault="00562632" w:rsidP="00EF3DCC">
            <w:pPr>
              <w:pStyle w:val="Heading2"/>
              <w:ind w:left="455"/>
              <w:outlineLvl w:val="1"/>
              <w:rPr>
                <w:sz w:val="20"/>
                <w:szCs w:val="20"/>
              </w:rPr>
            </w:pPr>
          </w:p>
        </w:tc>
        <w:tc>
          <w:tcPr>
            <w:tcW w:w="3365" w:type="dxa"/>
          </w:tcPr>
          <w:p w14:paraId="72B289E7" w14:textId="30E93C1F" w:rsidR="00562632" w:rsidRPr="00C56304" w:rsidRDefault="00562632" w:rsidP="00EF3DCC">
            <w:pPr>
              <w:pStyle w:val="NoSpacing"/>
              <w:jc w:val="left"/>
              <w:rPr>
                <w:rFonts w:cs="Arial"/>
                <w:sz w:val="20"/>
                <w:szCs w:val="20"/>
              </w:rPr>
            </w:pPr>
            <w:r w:rsidRPr="00C56304">
              <w:rPr>
                <w:rFonts w:cs="Arial"/>
                <w:sz w:val="20"/>
                <w:szCs w:val="20"/>
              </w:rPr>
              <w:t>R. 5 provide</w:t>
            </w:r>
            <w:r w:rsidR="007136F3">
              <w:rPr>
                <w:rFonts w:cs="Arial"/>
                <w:sz w:val="20"/>
                <w:szCs w:val="20"/>
              </w:rPr>
              <w:t>s</w:t>
            </w:r>
            <w:r w:rsidRPr="00C56304">
              <w:rPr>
                <w:rFonts w:cs="Arial"/>
                <w:sz w:val="20"/>
                <w:szCs w:val="20"/>
              </w:rPr>
              <w:t xml:space="preserve"> a definition of boiler for the purpose of high risk work licensing that includes ‘… boilers with less than 5 square metres heating surface or 150 kilowatt output’.  </w:t>
            </w:r>
          </w:p>
        </w:tc>
        <w:tc>
          <w:tcPr>
            <w:tcW w:w="2962" w:type="dxa"/>
          </w:tcPr>
          <w:p w14:paraId="72B289E8" w14:textId="77777777" w:rsidR="00562632" w:rsidRPr="00C56304" w:rsidRDefault="00562632" w:rsidP="00EF3DCC">
            <w:pPr>
              <w:pStyle w:val="NoSpacing"/>
              <w:jc w:val="left"/>
              <w:rPr>
                <w:rFonts w:eastAsia="Times New Roman" w:cs="Arial"/>
                <w:color w:val="000000"/>
                <w:sz w:val="20"/>
                <w:szCs w:val="20"/>
                <w:lang w:eastAsia="en-AU"/>
              </w:rPr>
            </w:pPr>
            <w:r w:rsidRPr="00C56304">
              <w:rPr>
                <w:rFonts w:cs="Arial"/>
                <w:sz w:val="20"/>
                <w:szCs w:val="20"/>
              </w:rPr>
              <w:t>An HRWL for basic boiler operation is not required unless a boiler has an output of more than 500kw.</w:t>
            </w:r>
          </w:p>
        </w:tc>
      </w:tr>
      <w:tr w:rsidR="00562632" w:rsidRPr="00C56304" w14:paraId="72B289F3" w14:textId="77777777" w:rsidTr="00EF3DCC">
        <w:trPr>
          <w:tblHeader/>
        </w:trPr>
        <w:tc>
          <w:tcPr>
            <w:tcW w:w="2962" w:type="dxa"/>
          </w:tcPr>
          <w:p w14:paraId="72B289EA" w14:textId="77777777" w:rsidR="00562632" w:rsidRPr="00C56304" w:rsidRDefault="00562632" w:rsidP="00EF3DCC">
            <w:pPr>
              <w:pStyle w:val="Heading2"/>
              <w:numPr>
                <w:ilvl w:val="0"/>
                <w:numId w:val="37"/>
              </w:numPr>
              <w:ind w:left="455"/>
              <w:outlineLvl w:val="1"/>
              <w:rPr>
                <w:sz w:val="20"/>
                <w:szCs w:val="20"/>
              </w:rPr>
            </w:pPr>
            <w:bookmarkStart w:id="32" w:name="_Toc451257391"/>
            <w:bookmarkStart w:id="33" w:name="_Toc451422112"/>
            <w:bookmarkStart w:id="34" w:name="_Toc451437325"/>
            <w:bookmarkStart w:id="35" w:name="_Toc4661831"/>
            <w:bookmarkStart w:id="36" w:name="_Toc17104605"/>
            <w:r w:rsidRPr="00C56304">
              <w:rPr>
                <w:sz w:val="20"/>
                <w:szCs w:val="20"/>
              </w:rPr>
              <w:t>Definitions– combustible liquid</w:t>
            </w:r>
            <w:bookmarkEnd w:id="32"/>
            <w:bookmarkEnd w:id="33"/>
            <w:bookmarkEnd w:id="34"/>
            <w:bookmarkEnd w:id="35"/>
            <w:bookmarkEnd w:id="36"/>
          </w:p>
          <w:p w14:paraId="72B289EB" w14:textId="77777777" w:rsidR="00562632" w:rsidRPr="00C56304" w:rsidRDefault="00562632" w:rsidP="00EF3DCC">
            <w:pPr>
              <w:pStyle w:val="Heading2"/>
              <w:ind w:left="455"/>
              <w:outlineLvl w:val="1"/>
              <w:rPr>
                <w:sz w:val="20"/>
                <w:szCs w:val="20"/>
              </w:rPr>
            </w:pPr>
          </w:p>
        </w:tc>
        <w:tc>
          <w:tcPr>
            <w:tcW w:w="3365" w:type="dxa"/>
          </w:tcPr>
          <w:p w14:paraId="72B289EC" w14:textId="77777777" w:rsidR="00562632" w:rsidRPr="00C56304" w:rsidRDefault="00562632" w:rsidP="00EF3DCC">
            <w:pPr>
              <w:pStyle w:val="NoSpacing"/>
              <w:jc w:val="left"/>
              <w:rPr>
                <w:rFonts w:cs="Arial"/>
                <w:sz w:val="20"/>
                <w:szCs w:val="20"/>
              </w:rPr>
            </w:pPr>
            <w:r w:rsidRPr="00C56304">
              <w:rPr>
                <w:rFonts w:cs="Arial"/>
                <w:sz w:val="20"/>
                <w:szCs w:val="20"/>
              </w:rPr>
              <w:t xml:space="preserve">Refer to the defined phrase (r.5) </w:t>
            </w:r>
            <w:r w:rsidRPr="00C56304">
              <w:rPr>
                <w:rFonts w:cs="Arial"/>
                <w:b/>
                <w:i/>
                <w:sz w:val="20"/>
                <w:szCs w:val="20"/>
              </w:rPr>
              <w:t>combustible liquid</w:t>
            </w:r>
            <w:r w:rsidRPr="00C56304">
              <w:rPr>
                <w:rFonts w:cs="Arial"/>
                <w:sz w:val="20"/>
                <w:szCs w:val="20"/>
              </w:rPr>
              <w:t xml:space="preserve"> in:</w:t>
            </w:r>
          </w:p>
          <w:p w14:paraId="72B289ED" w14:textId="77777777" w:rsidR="00562632" w:rsidRPr="00C56304" w:rsidRDefault="00562632" w:rsidP="00EF3DCC">
            <w:pPr>
              <w:pStyle w:val="NoSpacing"/>
              <w:numPr>
                <w:ilvl w:val="0"/>
                <w:numId w:val="17"/>
              </w:numPr>
              <w:ind w:left="334"/>
              <w:jc w:val="left"/>
              <w:rPr>
                <w:rFonts w:cs="Arial"/>
                <w:sz w:val="20"/>
                <w:szCs w:val="20"/>
              </w:rPr>
            </w:pPr>
            <w:r w:rsidRPr="00C56304">
              <w:rPr>
                <w:rFonts w:cs="Arial"/>
                <w:sz w:val="20"/>
                <w:szCs w:val="20"/>
              </w:rPr>
              <w:lastRenderedPageBreak/>
              <w:t xml:space="preserve">r. 53 (flammable and </w:t>
            </w:r>
            <w:r w:rsidRPr="00C56304">
              <w:rPr>
                <w:rFonts w:cs="Arial"/>
                <w:b/>
                <w:i/>
                <w:sz w:val="20"/>
                <w:szCs w:val="20"/>
              </w:rPr>
              <w:t>combustible material</w:t>
            </w:r>
            <w:r w:rsidRPr="00C56304">
              <w:rPr>
                <w:rFonts w:cs="Arial"/>
                <w:sz w:val="20"/>
                <w:szCs w:val="20"/>
              </w:rPr>
              <w:t xml:space="preserve"> not to be accumulated); </w:t>
            </w:r>
          </w:p>
          <w:p w14:paraId="72B289EE" w14:textId="77777777" w:rsidR="00562632" w:rsidRPr="00C56304" w:rsidRDefault="00562632" w:rsidP="00EF3DCC">
            <w:pPr>
              <w:pStyle w:val="NoSpacing"/>
              <w:numPr>
                <w:ilvl w:val="0"/>
                <w:numId w:val="17"/>
              </w:numPr>
              <w:ind w:left="334"/>
              <w:jc w:val="left"/>
              <w:rPr>
                <w:rFonts w:cs="Arial"/>
                <w:sz w:val="20"/>
                <w:szCs w:val="20"/>
              </w:rPr>
            </w:pPr>
            <w:r w:rsidRPr="00C56304">
              <w:rPr>
                <w:rFonts w:cs="Arial"/>
                <w:sz w:val="20"/>
                <w:szCs w:val="20"/>
              </w:rPr>
              <w:t>part 3 of Schedule 12 (Manifest requirements – identification of hazardous chemicals);</w:t>
            </w:r>
          </w:p>
          <w:p w14:paraId="72B289EF" w14:textId="77777777" w:rsidR="00562632" w:rsidRPr="00C56304" w:rsidRDefault="00562632" w:rsidP="00EF3DCC">
            <w:pPr>
              <w:pStyle w:val="NoSpacing"/>
              <w:numPr>
                <w:ilvl w:val="0"/>
                <w:numId w:val="17"/>
              </w:numPr>
              <w:ind w:left="334"/>
              <w:jc w:val="left"/>
              <w:rPr>
                <w:rFonts w:cs="Arial"/>
                <w:sz w:val="20"/>
                <w:szCs w:val="20"/>
              </w:rPr>
            </w:pPr>
            <w:r w:rsidRPr="00C56304">
              <w:rPr>
                <w:rFonts w:cs="Arial"/>
                <w:sz w:val="20"/>
                <w:szCs w:val="20"/>
              </w:rPr>
              <w:t>part 4 of Schedule 12 (Manifest – storage area for packaged hazardous chemicals); and</w:t>
            </w:r>
          </w:p>
          <w:p w14:paraId="72B289F0" w14:textId="77777777" w:rsidR="00562632" w:rsidRPr="00C56304" w:rsidRDefault="00562632" w:rsidP="00EF3DCC">
            <w:pPr>
              <w:pStyle w:val="NoSpacing"/>
              <w:numPr>
                <w:ilvl w:val="0"/>
                <w:numId w:val="17"/>
              </w:numPr>
              <w:ind w:left="334"/>
              <w:jc w:val="left"/>
              <w:rPr>
                <w:rFonts w:cs="Arial"/>
                <w:sz w:val="20"/>
                <w:szCs w:val="20"/>
              </w:rPr>
            </w:pPr>
            <w:r w:rsidRPr="00C56304">
              <w:rPr>
                <w:rFonts w:cs="Arial"/>
                <w:sz w:val="20"/>
                <w:szCs w:val="20"/>
              </w:rPr>
              <w:t>part 7 of Schedule 13 (Placards for flammable liquids category 4 package or in bulk).</w:t>
            </w:r>
          </w:p>
          <w:p w14:paraId="72B289F1" w14:textId="77777777" w:rsidR="00562632" w:rsidRPr="00C56304" w:rsidRDefault="00562632" w:rsidP="00EF3DCC">
            <w:pPr>
              <w:pStyle w:val="NoSpacing"/>
              <w:jc w:val="left"/>
              <w:rPr>
                <w:rFonts w:cs="Arial"/>
                <w:sz w:val="20"/>
                <w:szCs w:val="20"/>
              </w:rPr>
            </w:pPr>
            <w:r w:rsidRPr="00C56304">
              <w:rPr>
                <w:rFonts w:cs="Arial"/>
                <w:sz w:val="20"/>
                <w:szCs w:val="20"/>
              </w:rPr>
              <w:t xml:space="preserve">These provisions will be removed so the definition of </w:t>
            </w:r>
            <w:r w:rsidRPr="00C56304">
              <w:rPr>
                <w:rFonts w:cs="Arial"/>
                <w:b/>
                <w:i/>
                <w:sz w:val="20"/>
                <w:szCs w:val="20"/>
              </w:rPr>
              <w:t>combustible liquid</w:t>
            </w:r>
            <w:r w:rsidRPr="00C56304">
              <w:rPr>
                <w:rFonts w:cs="Arial"/>
                <w:sz w:val="20"/>
                <w:szCs w:val="20"/>
              </w:rPr>
              <w:t xml:space="preserve"> is not required.</w:t>
            </w:r>
          </w:p>
        </w:tc>
        <w:tc>
          <w:tcPr>
            <w:tcW w:w="2962" w:type="dxa"/>
          </w:tcPr>
          <w:p w14:paraId="72B289F2" w14:textId="44333CD3" w:rsidR="00562632" w:rsidRPr="00C56304" w:rsidRDefault="00562632" w:rsidP="00EF3DCC">
            <w:pPr>
              <w:pStyle w:val="NoSpacing"/>
              <w:jc w:val="left"/>
              <w:rPr>
                <w:rFonts w:eastAsia="Times New Roman" w:cs="Arial"/>
                <w:color w:val="000000"/>
                <w:sz w:val="20"/>
                <w:szCs w:val="20"/>
                <w:lang w:eastAsia="en-AU"/>
              </w:rPr>
            </w:pPr>
            <w:r w:rsidRPr="00C56304">
              <w:rPr>
                <w:rFonts w:eastAsia="Times New Roman" w:cs="Arial"/>
                <w:color w:val="000000"/>
                <w:sz w:val="20"/>
                <w:szCs w:val="20"/>
                <w:lang w:eastAsia="en-AU"/>
              </w:rPr>
              <w:lastRenderedPageBreak/>
              <w:t>No equivalent</w:t>
            </w:r>
            <w:r w:rsidR="005A40EE">
              <w:rPr>
                <w:rFonts w:eastAsia="Times New Roman" w:cs="Arial"/>
                <w:color w:val="000000"/>
                <w:sz w:val="20"/>
                <w:szCs w:val="20"/>
                <w:lang w:eastAsia="en-AU"/>
              </w:rPr>
              <w:t>.</w:t>
            </w:r>
          </w:p>
        </w:tc>
      </w:tr>
      <w:tr w:rsidR="007E4463" w:rsidRPr="00C56304" w14:paraId="72B289F8" w14:textId="77777777" w:rsidTr="00EF3DCC">
        <w:trPr>
          <w:tblHeader/>
        </w:trPr>
        <w:tc>
          <w:tcPr>
            <w:tcW w:w="2962" w:type="dxa"/>
          </w:tcPr>
          <w:p w14:paraId="72B289F4" w14:textId="77777777" w:rsidR="007E4463" w:rsidRPr="00C56304" w:rsidRDefault="007E4463" w:rsidP="00EF3DCC">
            <w:pPr>
              <w:pStyle w:val="Heading2"/>
              <w:numPr>
                <w:ilvl w:val="0"/>
                <w:numId w:val="37"/>
              </w:numPr>
              <w:ind w:left="455"/>
              <w:outlineLvl w:val="1"/>
              <w:rPr>
                <w:sz w:val="20"/>
                <w:szCs w:val="20"/>
              </w:rPr>
            </w:pPr>
            <w:bookmarkStart w:id="37" w:name="_Toc17104606"/>
            <w:r w:rsidRPr="00C56304">
              <w:rPr>
                <w:sz w:val="20"/>
                <w:szCs w:val="20"/>
              </w:rPr>
              <w:t>Definitions – confined space</w:t>
            </w:r>
            <w:bookmarkEnd w:id="37"/>
          </w:p>
        </w:tc>
        <w:tc>
          <w:tcPr>
            <w:tcW w:w="3365" w:type="dxa"/>
          </w:tcPr>
          <w:p w14:paraId="72B289F5" w14:textId="77777777" w:rsidR="007E4463" w:rsidRPr="00C56304" w:rsidRDefault="007E4463" w:rsidP="00EF3DCC">
            <w:pPr>
              <w:spacing w:before="120" w:after="120"/>
              <w:rPr>
                <w:rFonts w:ascii="Arial" w:hAnsi="Arial" w:cs="Arial"/>
                <w:sz w:val="20"/>
                <w:szCs w:val="20"/>
              </w:rPr>
            </w:pPr>
            <w:r w:rsidRPr="00C56304">
              <w:rPr>
                <w:rFonts w:ascii="Arial" w:hAnsi="Arial" w:cs="Arial"/>
                <w:sz w:val="20"/>
                <w:szCs w:val="20"/>
              </w:rPr>
              <w:t xml:space="preserve">The definition excludes “a mine shaft or the workings of a mine” from the definition of confined space.  </w:t>
            </w:r>
          </w:p>
          <w:p w14:paraId="72B289F6" w14:textId="5D4A410D" w:rsidR="007E4463" w:rsidRPr="00C56304" w:rsidRDefault="007E4463" w:rsidP="007136F3">
            <w:pPr>
              <w:spacing w:before="120" w:after="120"/>
              <w:rPr>
                <w:rFonts w:ascii="Arial" w:hAnsi="Arial" w:cs="Arial"/>
                <w:sz w:val="20"/>
                <w:szCs w:val="20"/>
              </w:rPr>
            </w:pPr>
            <w:r w:rsidRPr="00C56304">
              <w:rPr>
                <w:rFonts w:ascii="Arial" w:hAnsi="Arial" w:cs="Arial"/>
                <w:sz w:val="20"/>
                <w:szCs w:val="20"/>
              </w:rPr>
              <w:t xml:space="preserve">Stakeholder comments </w:t>
            </w:r>
            <w:r w:rsidR="007136F3">
              <w:rPr>
                <w:rFonts w:ascii="Arial" w:hAnsi="Arial" w:cs="Arial"/>
                <w:sz w:val="20"/>
                <w:szCs w:val="20"/>
              </w:rPr>
              <w:t>are</w:t>
            </w:r>
            <w:r w:rsidRPr="00C56304">
              <w:rPr>
                <w:rFonts w:ascii="Arial" w:hAnsi="Arial" w:cs="Arial"/>
                <w:sz w:val="20"/>
                <w:szCs w:val="20"/>
              </w:rPr>
              <w:t xml:space="preserve"> request</w:t>
            </w:r>
            <w:r w:rsidR="007136F3">
              <w:rPr>
                <w:rFonts w:ascii="Arial" w:hAnsi="Arial" w:cs="Arial"/>
                <w:sz w:val="20"/>
                <w:szCs w:val="20"/>
              </w:rPr>
              <w:t>ed</w:t>
            </w:r>
            <w:r w:rsidRPr="00C56304">
              <w:rPr>
                <w:rFonts w:ascii="Arial" w:hAnsi="Arial" w:cs="Arial"/>
                <w:sz w:val="20"/>
                <w:szCs w:val="20"/>
              </w:rPr>
              <w:t xml:space="preserve"> as to whether it is appropriate to limit the exclusion to </w:t>
            </w:r>
            <w:r w:rsidRPr="00C56304">
              <w:rPr>
                <w:rFonts w:ascii="Arial" w:hAnsi="Arial" w:cs="Arial"/>
                <w:sz w:val="20"/>
                <w:szCs w:val="20"/>
                <w:u w:val="single"/>
              </w:rPr>
              <w:t>underground</w:t>
            </w:r>
            <w:r w:rsidRPr="00C56304">
              <w:rPr>
                <w:rFonts w:ascii="Arial" w:hAnsi="Arial" w:cs="Arial"/>
                <w:sz w:val="20"/>
                <w:szCs w:val="20"/>
              </w:rPr>
              <w:t xml:space="preserve"> mines.  </w:t>
            </w:r>
          </w:p>
        </w:tc>
        <w:tc>
          <w:tcPr>
            <w:tcW w:w="2962" w:type="dxa"/>
          </w:tcPr>
          <w:p w14:paraId="72B289F7" w14:textId="39E6C1CD" w:rsidR="007E4463" w:rsidRPr="00C56304" w:rsidRDefault="007E4463" w:rsidP="00EF3DCC">
            <w:pPr>
              <w:pStyle w:val="NoSpacing"/>
              <w:jc w:val="left"/>
              <w:rPr>
                <w:rFonts w:eastAsia="Times New Roman" w:cs="Arial"/>
                <w:color w:val="000000"/>
                <w:sz w:val="20"/>
                <w:szCs w:val="20"/>
                <w:lang w:eastAsia="en-AU"/>
              </w:rPr>
            </w:pPr>
            <w:r w:rsidRPr="007E4463">
              <w:rPr>
                <w:rFonts w:eastAsia="Times New Roman" w:cs="Arial"/>
                <w:sz w:val="20"/>
                <w:szCs w:val="20"/>
              </w:rPr>
              <w:t>The Commission has endorsed consideration of the WHS regulations for Western Australia being amended to limit the exclusion to underground mines.</w:t>
            </w:r>
          </w:p>
        </w:tc>
      </w:tr>
      <w:tr w:rsidR="007E4463" w:rsidRPr="00C56304" w14:paraId="72B28A06" w14:textId="77777777" w:rsidTr="00EF3DCC">
        <w:trPr>
          <w:tblHeader/>
        </w:trPr>
        <w:tc>
          <w:tcPr>
            <w:tcW w:w="2962" w:type="dxa"/>
          </w:tcPr>
          <w:p w14:paraId="72B289F9" w14:textId="77777777" w:rsidR="007E4463" w:rsidRPr="00C56304" w:rsidRDefault="007E4463" w:rsidP="00EF3DCC">
            <w:pPr>
              <w:pStyle w:val="Heading2"/>
              <w:numPr>
                <w:ilvl w:val="0"/>
                <w:numId w:val="37"/>
              </w:numPr>
              <w:ind w:left="455"/>
              <w:outlineLvl w:val="1"/>
              <w:rPr>
                <w:sz w:val="20"/>
                <w:szCs w:val="20"/>
              </w:rPr>
            </w:pPr>
            <w:bookmarkStart w:id="38" w:name="_Toc4661832"/>
            <w:bookmarkStart w:id="39" w:name="_Toc17104607"/>
            <w:r w:rsidRPr="00C56304">
              <w:rPr>
                <w:sz w:val="20"/>
                <w:szCs w:val="20"/>
              </w:rPr>
              <w:t>Definitions – emergency service organisation</w:t>
            </w:r>
            <w:bookmarkEnd w:id="38"/>
            <w:bookmarkEnd w:id="39"/>
          </w:p>
          <w:p w14:paraId="72B289FA" w14:textId="77777777" w:rsidR="007E4463" w:rsidRPr="00C56304" w:rsidRDefault="007E4463" w:rsidP="00EF3DCC">
            <w:pPr>
              <w:pStyle w:val="Heading2"/>
              <w:ind w:left="455"/>
              <w:outlineLvl w:val="1"/>
              <w:rPr>
                <w:sz w:val="20"/>
                <w:szCs w:val="20"/>
              </w:rPr>
            </w:pPr>
          </w:p>
        </w:tc>
        <w:tc>
          <w:tcPr>
            <w:tcW w:w="3365" w:type="dxa"/>
          </w:tcPr>
          <w:p w14:paraId="72B289FB" w14:textId="77777777" w:rsidR="007E4463" w:rsidRPr="00C56304" w:rsidRDefault="007E4463" w:rsidP="00EF3DCC">
            <w:pPr>
              <w:spacing w:before="120" w:after="120"/>
              <w:rPr>
                <w:rFonts w:ascii="Arial" w:hAnsi="Arial" w:cs="Arial"/>
                <w:sz w:val="20"/>
                <w:szCs w:val="20"/>
              </w:rPr>
            </w:pPr>
            <w:r w:rsidRPr="00C56304">
              <w:rPr>
                <w:rFonts w:ascii="Arial" w:hAnsi="Arial" w:cs="Arial"/>
                <w:sz w:val="20"/>
                <w:szCs w:val="20"/>
              </w:rPr>
              <w:t>Provide for a definition (r. 5) of emergency service organisation.  A jurisdictional note authorises appropriate local provisions to be inserted.  The following entities are proposed to be included in this definition:</w:t>
            </w:r>
          </w:p>
          <w:p w14:paraId="72B289FC" w14:textId="77777777" w:rsidR="007E4463" w:rsidRPr="00C56304" w:rsidRDefault="007E4463" w:rsidP="00EF3DCC">
            <w:pPr>
              <w:pStyle w:val="ListParagraph"/>
              <w:numPr>
                <w:ilvl w:val="0"/>
                <w:numId w:val="21"/>
              </w:numPr>
              <w:tabs>
                <w:tab w:val="clear" w:pos="720"/>
                <w:tab w:val="num" w:pos="360"/>
              </w:tabs>
              <w:spacing w:before="120" w:after="120"/>
              <w:ind w:left="328" w:hanging="328"/>
              <w:contextualSpacing w:val="0"/>
              <w:rPr>
                <w:rFonts w:ascii="Arial" w:hAnsi="Arial" w:cs="Arial"/>
                <w:bCs/>
                <w:sz w:val="20"/>
                <w:szCs w:val="20"/>
              </w:rPr>
            </w:pPr>
            <w:r w:rsidRPr="00C56304">
              <w:rPr>
                <w:rFonts w:ascii="Arial" w:hAnsi="Arial" w:cs="Arial"/>
                <w:bCs/>
                <w:sz w:val="20"/>
                <w:szCs w:val="20"/>
              </w:rPr>
              <w:t xml:space="preserve">Department of Fire and Emergency Services </w:t>
            </w:r>
          </w:p>
          <w:p w14:paraId="72B289FD" w14:textId="77777777" w:rsidR="007E4463" w:rsidRPr="00C56304" w:rsidRDefault="007E4463" w:rsidP="00EF3DCC">
            <w:pPr>
              <w:pStyle w:val="ListParagraph"/>
              <w:numPr>
                <w:ilvl w:val="0"/>
                <w:numId w:val="21"/>
              </w:numPr>
              <w:tabs>
                <w:tab w:val="clear" w:pos="720"/>
                <w:tab w:val="num" w:pos="360"/>
              </w:tabs>
              <w:spacing w:before="120" w:after="120"/>
              <w:ind w:left="328" w:hanging="328"/>
              <w:contextualSpacing w:val="0"/>
              <w:rPr>
                <w:rFonts w:ascii="Arial" w:hAnsi="Arial" w:cs="Arial"/>
                <w:bCs/>
                <w:sz w:val="20"/>
                <w:szCs w:val="20"/>
              </w:rPr>
            </w:pPr>
            <w:r w:rsidRPr="00C56304">
              <w:rPr>
                <w:rFonts w:ascii="Arial" w:hAnsi="Arial" w:cs="Arial"/>
                <w:bCs/>
                <w:sz w:val="20"/>
                <w:szCs w:val="20"/>
              </w:rPr>
              <w:t>WA Police</w:t>
            </w:r>
          </w:p>
          <w:p w14:paraId="72B289FE" w14:textId="77777777" w:rsidR="007E4463" w:rsidRPr="00C56304" w:rsidRDefault="007E4463" w:rsidP="00EF3DCC">
            <w:pPr>
              <w:pStyle w:val="ListParagraph"/>
              <w:numPr>
                <w:ilvl w:val="0"/>
                <w:numId w:val="21"/>
              </w:numPr>
              <w:tabs>
                <w:tab w:val="clear" w:pos="720"/>
                <w:tab w:val="num" w:pos="360"/>
              </w:tabs>
              <w:spacing w:before="120" w:after="120"/>
              <w:ind w:left="328" w:hanging="328"/>
              <w:contextualSpacing w:val="0"/>
              <w:rPr>
                <w:rFonts w:ascii="Arial" w:hAnsi="Arial" w:cs="Arial"/>
                <w:bCs/>
                <w:sz w:val="20"/>
                <w:szCs w:val="20"/>
              </w:rPr>
            </w:pPr>
            <w:r w:rsidRPr="00C56304">
              <w:rPr>
                <w:rFonts w:ascii="Arial" w:hAnsi="Arial" w:cs="Arial"/>
                <w:bCs/>
                <w:sz w:val="20"/>
                <w:szCs w:val="20"/>
              </w:rPr>
              <w:t>St Johns Ambulance Service</w:t>
            </w:r>
          </w:p>
          <w:p w14:paraId="72B289FF" w14:textId="77777777" w:rsidR="007E4463" w:rsidRPr="00C56304" w:rsidRDefault="007E4463" w:rsidP="00EF3DCC">
            <w:pPr>
              <w:pStyle w:val="ListParagraph"/>
              <w:numPr>
                <w:ilvl w:val="0"/>
                <w:numId w:val="21"/>
              </w:numPr>
              <w:tabs>
                <w:tab w:val="clear" w:pos="720"/>
                <w:tab w:val="num" w:pos="360"/>
              </w:tabs>
              <w:spacing w:before="120" w:after="120"/>
              <w:ind w:left="328" w:hanging="328"/>
              <w:contextualSpacing w:val="0"/>
              <w:rPr>
                <w:rFonts w:ascii="Arial" w:hAnsi="Arial" w:cs="Arial"/>
                <w:bCs/>
                <w:sz w:val="20"/>
                <w:szCs w:val="20"/>
              </w:rPr>
            </w:pPr>
            <w:r w:rsidRPr="00C56304">
              <w:rPr>
                <w:rFonts w:ascii="Arial" w:hAnsi="Arial" w:cs="Arial"/>
                <w:bCs/>
                <w:sz w:val="20"/>
                <w:szCs w:val="20"/>
              </w:rPr>
              <w:t>Bush Fire Service</w:t>
            </w:r>
          </w:p>
          <w:p w14:paraId="72B28A00" w14:textId="77777777" w:rsidR="007E4463" w:rsidRPr="00C56304" w:rsidRDefault="007E4463" w:rsidP="00EF3DCC">
            <w:pPr>
              <w:pStyle w:val="ListParagraph"/>
              <w:numPr>
                <w:ilvl w:val="0"/>
                <w:numId w:val="21"/>
              </w:numPr>
              <w:tabs>
                <w:tab w:val="clear" w:pos="720"/>
                <w:tab w:val="num" w:pos="360"/>
              </w:tabs>
              <w:spacing w:before="120" w:after="120"/>
              <w:ind w:left="328" w:hanging="328"/>
              <w:contextualSpacing w:val="0"/>
              <w:rPr>
                <w:rFonts w:ascii="Arial" w:hAnsi="Arial" w:cs="Arial"/>
                <w:bCs/>
                <w:sz w:val="20"/>
                <w:szCs w:val="20"/>
              </w:rPr>
            </w:pPr>
            <w:r w:rsidRPr="00C56304">
              <w:rPr>
                <w:rFonts w:ascii="Arial" w:hAnsi="Arial" w:cs="Arial"/>
                <w:bCs/>
                <w:sz w:val="20"/>
                <w:szCs w:val="20"/>
              </w:rPr>
              <w:t>Volunteer Emergency Service</w:t>
            </w:r>
          </w:p>
          <w:p w14:paraId="72B28A01" w14:textId="77777777" w:rsidR="007E4463" w:rsidRPr="00C56304" w:rsidRDefault="007E4463" w:rsidP="00EF3DCC">
            <w:pPr>
              <w:pStyle w:val="ListParagraph"/>
              <w:numPr>
                <w:ilvl w:val="0"/>
                <w:numId w:val="21"/>
              </w:numPr>
              <w:tabs>
                <w:tab w:val="clear" w:pos="720"/>
                <w:tab w:val="num" w:pos="360"/>
              </w:tabs>
              <w:spacing w:before="120" w:after="120"/>
              <w:ind w:left="328" w:hanging="328"/>
              <w:contextualSpacing w:val="0"/>
              <w:rPr>
                <w:rFonts w:ascii="Arial" w:hAnsi="Arial" w:cs="Arial"/>
                <w:bCs/>
                <w:sz w:val="20"/>
                <w:szCs w:val="20"/>
              </w:rPr>
            </w:pPr>
            <w:r w:rsidRPr="00C56304">
              <w:rPr>
                <w:rFonts w:ascii="Arial" w:hAnsi="Arial" w:cs="Arial"/>
                <w:bCs/>
                <w:sz w:val="20"/>
                <w:szCs w:val="20"/>
              </w:rPr>
              <w:t>Volunteer Fire and Rescue Service</w:t>
            </w:r>
          </w:p>
          <w:p w14:paraId="72B28A02" w14:textId="77777777" w:rsidR="007E4463" w:rsidRPr="00C56304" w:rsidRDefault="007E4463" w:rsidP="00EF3DCC">
            <w:pPr>
              <w:pStyle w:val="ListParagraph"/>
              <w:numPr>
                <w:ilvl w:val="0"/>
                <w:numId w:val="21"/>
              </w:numPr>
              <w:tabs>
                <w:tab w:val="clear" w:pos="720"/>
                <w:tab w:val="num" w:pos="360"/>
              </w:tabs>
              <w:spacing w:before="120" w:after="120"/>
              <w:ind w:left="328" w:hanging="328"/>
              <w:contextualSpacing w:val="0"/>
              <w:rPr>
                <w:rFonts w:ascii="Arial" w:hAnsi="Arial" w:cs="Arial"/>
                <w:bCs/>
                <w:sz w:val="20"/>
                <w:szCs w:val="20"/>
              </w:rPr>
            </w:pPr>
            <w:r w:rsidRPr="00C56304">
              <w:rPr>
                <w:rFonts w:ascii="Arial" w:hAnsi="Arial" w:cs="Arial"/>
                <w:bCs/>
                <w:sz w:val="20"/>
                <w:szCs w:val="20"/>
              </w:rPr>
              <w:t>Volunteer Fire Services</w:t>
            </w:r>
          </w:p>
          <w:p w14:paraId="72B28A03" w14:textId="77777777" w:rsidR="007E4463" w:rsidRPr="00C56304" w:rsidRDefault="007E4463" w:rsidP="00EF3DCC">
            <w:pPr>
              <w:pStyle w:val="ListParagraph"/>
              <w:numPr>
                <w:ilvl w:val="0"/>
                <w:numId w:val="21"/>
              </w:numPr>
              <w:tabs>
                <w:tab w:val="clear" w:pos="720"/>
                <w:tab w:val="num" w:pos="360"/>
              </w:tabs>
              <w:spacing w:before="120" w:after="120"/>
              <w:ind w:left="328" w:hanging="328"/>
              <w:contextualSpacing w:val="0"/>
              <w:rPr>
                <w:rFonts w:ascii="Arial" w:hAnsi="Arial" w:cs="Arial"/>
                <w:bCs/>
                <w:sz w:val="20"/>
                <w:szCs w:val="20"/>
              </w:rPr>
            </w:pPr>
            <w:r w:rsidRPr="00C56304">
              <w:rPr>
                <w:rFonts w:ascii="Arial" w:hAnsi="Arial" w:cs="Arial"/>
                <w:bCs/>
                <w:sz w:val="20"/>
                <w:szCs w:val="20"/>
              </w:rPr>
              <w:t>Volunteer Marine Rescue Services</w:t>
            </w:r>
          </w:p>
          <w:p w14:paraId="72B28A04" w14:textId="77777777" w:rsidR="007E4463" w:rsidRPr="00C56304" w:rsidRDefault="007E4463" w:rsidP="00EF3DCC">
            <w:pPr>
              <w:pStyle w:val="ListParagraph"/>
              <w:numPr>
                <w:ilvl w:val="0"/>
                <w:numId w:val="21"/>
              </w:numPr>
              <w:tabs>
                <w:tab w:val="clear" w:pos="720"/>
                <w:tab w:val="num" w:pos="360"/>
              </w:tabs>
              <w:spacing w:before="120" w:after="120"/>
              <w:ind w:left="335" w:hanging="357"/>
              <w:contextualSpacing w:val="0"/>
              <w:rPr>
                <w:rFonts w:ascii="Arial" w:hAnsi="Arial" w:cs="Arial"/>
                <w:sz w:val="20"/>
                <w:szCs w:val="20"/>
              </w:rPr>
            </w:pPr>
            <w:r w:rsidRPr="00C56304">
              <w:rPr>
                <w:rFonts w:ascii="Arial" w:hAnsi="Arial" w:cs="Arial"/>
                <w:bCs/>
                <w:sz w:val="20"/>
                <w:szCs w:val="20"/>
              </w:rPr>
              <w:t>State Emergency Service</w:t>
            </w:r>
          </w:p>
        </w:tc>
        <w:tc>
          <w:tcPr>
            <w:tcW w:w="2962" w:type="dxa"/>
          </w:tcPr>
          <w:p w14:paraId="72B28A05" w14:textId="4F07F54D" w:rsidR="007E4463" w:rsidRPr="00C56304" w:rsidRDefault="007E4463" w:rsidP="00EF3DCC">
            <w:pPr>
              <w:pStyle w:val="NoSpacing"/>
              <w:jc w:val="left"/>
              <w:rPr>
                <w:rFonts w:eastAsia="Times New Roman" w:cs="Arial"/>
                <w:color w:val="000000"/>
                <w:sz w:val="20"/>
                <w:szCs w:val="20"/>
                <w:lang w:eastAsia="en-AU"/>
              </w:rPr>
            </w:pPr>
            <w:r w:rsidRPr="00C56304">
              <w:rPr>
                <w:rFonts w:eastAsia="Times New Roman" w:cs="Arial"/>
                <w:color w:val="000000"/>
                <w:sz w:val="20"/>
                <w:szCs w:val="20"/>
                <w:lang w:eastAsia="en-AU"/>
              </w:rPr>
              <w:t>No equivalent</w:t>
            </w:r>
            <w:r w:rsidR="005A40EE">
              <w:rPr>
                <w:rFonts w:eastAsia="Times New Roman" w:cs="Arial"/>
                <w:color w:val="000000"/>
                <w:sz w:val="20"/>
                <w:szCs w:val="20"/>
                <w:lang w:eastAsia="en-AU"/>
              </w:rPr>
              <w:t>.</w:t>
            </w:r>
          </w:p>
        </w:tc>
      </w:tr>
      <w:tr w:rsidR="007E4463" w:rsidRPr="00C56304" w14:paraId="72B28A0B" w14:textId="77777777" w:rsidTr="00EF3DCC">
        <w:trPr>
          <w:tblHeader/>
        </w:trPr>
        <w:tc>
          <w:tcPr>
            <w:tcW w:w="2962" w:type="dxa"/>
          </w:tcPr>
          <w:p w14:paraId="72B28A07" w14:textId="77777777" w:rsidR="007E4463" w:rsidRPr="00C56304" w:rsidRDefault="007E4463" w:rsidP="00EF3DCC">
            <w:pPr>
              <w:pStyle w:val="Heading2"/>
              <w:numPr>
                <w:ilvl w:val="0"/>
                <w:numId w:val="37"/>
              </w:numPr>
              <w:ind w:left="455"/>
              <w:outlineLvl w:val="1"/>
              <w:rPr>
                <w:sz w:val="20"/>
                <w:szCs w:val="20"/>
              </w:rPr>
            </w:pPr>
            <w:bookmarkStart w:id="40" w:name="_Toc4661833"/>
            <w:bookmarkStart w:id="41" w:name="_Toc17104608"/>
            <w:r w:rsidRPr="00C56304">
              <w:rPr>
                <w:sz w:val="20"/>
                <w:szCs w:val="20"/>
              </w:rPr>
              <w:t>Definitions – emergency service worker</w:t>
            </w:r>
            <w:bookmarkEnd w:id="40"/>
            <w:bookmarkEnd w:id="41"/>
          </w:p>
          <w:p w14:paraId="72B28A08" w14:textId="77777777" w:rsidR="007E4463" w:rsidRPr="00C56304" w:rsidRDefault="007E4463" w:rsidP="00EF3DCC">
            <w:pPr>
              <w:pStyle w:val="Heading2"/>
              <w:ind w:left="455"/>
              <w:outlineLvl w:val="1"/>
              <w:rPr>
                <w:sz w:val="20"/>
                <w:szCs w:val="20"/>
              </w:rPr>
            </w:pPr>
          </w:p>
        </w:tc>
        <w:tc>
          <w:tcPr>
            <w:tcW w:w="3365" w:type="dxa"/>
          </w:tcPr>
          <w:p w14:paraId="72B28A09" w14:textId="77777777" w:rsidR="007E4463" w:rsidRPr="00C56304" w:rsidRDefault="007E4463" w:rsidP="00EF3DCC">
            <w:pPr>
              <w:spacing w:before="120" w:after="120"/>
              <w:rPr>
                <w:rFonts w:ascii="Arial" w:hAnsi="Arial" w:cs="Arial"/>
                <w:sz w:val="20"/>
                <w:szCs w:val="20"/>
              </w:rPr>
            </w:pPr>
            <w:r w:rsidRPr="00C56304">
              <w:rPr>
                <w:rFonts w:ascii="Arial" w:hAnsi="Arial" w:cs="Arial"/>
                <w:sz w:val="20"/>
                <w:szCs w:val="20"/>
              </w:rPr>
              <w:t xml:space="preserve">R. 5 provides for a definition of an emergency service worker.  A jurisdictional note authorises appropriate local provisions to be inserted.  The definition will include reference to </w:t>
            </w:r>
            <w:r w:rsidRPr="00C56304">
              <w:rPr>
                <w:rFonts w:ascii="Arial" w:hAnsi="Arial" w:cs="Arial"/>
                <w:bCs/>
                <w:sz w:val="20"/>
                <w:szCs w:val="20"/>
              </w:rPr>
              <w:t>“Members of an emergency service organisation (paid and volunteers).”</w:t>
            </w:r>
          </w:p>
        </w:tc>
        <w:tc>
          <w:tcPr>
            <w:tcW w:w="2962" w:type="dxa"/>
          </w:tcPr>
          <w:p w14:paraId="72B28A0A" w14:textId="3E8F837C" w:rsidR="007E4463" w:rsidRPr="00C56304" w:rsidRDefault="007E4463" w:rsidP="00EF3DCC">
            <w:pPr>
              <w:pStyle w:val="NoSpacing"/>
              <w:jc w:val="left"/>
              <w:rPr>
                <w:rFonts w:eastAsia="Times New Roman" w:cs="Arial"/>
                <w:color w:val="000000"/>
                <w:sz w:val="20"/>
                <w:szCs w:val="20"/>
                <w:lang w:eastAsia="en-AU"/>
              </w:rPr>
            </w:pPr>
            <w:r w:rsidRPr="00C56304">
              <w:rPr>
                <w:rFonts w:eastAsia="Times New Roman" w:cs="Arial"/>
                <w:color w:val="000000"/>
                <w:sz w:val="20"/>
                <w:szCs w:val="20"/>
                <w:lang w:eastAsia="en-AU"/>
              </w:rPr>
              <w:t>No equivalent</w:t>
            </w:r>
            <w:r w:rsidR="005A40EE">
              <w:rPr>
                <w:rFonts w:eastAsia="Times New Roman" w:cs="Arial"/>
                <w:color w:val="000000"/>
                <w:sz w:val="20"/>
                <w:szCs w:val="20"/>
                <w:lang w:eastAsia="en-AU"/>
              </w:rPr>
              <w:t>.</w:t>
            </w:r>
          </w:p>
        </w:tc>
      </w:tr>
      <w:tr w:rsidR="007E4463" w:rsidRPr="00C56304" w14:paraId="72B28A10" w14:textId="77777777" w:rsidTr="00EF3DCC">
        <w:trPr>
          <w:tblHeader/>
        </w:trPr>
        <w:tc>
          <w:tcPr>
            <w:tcW w:w="2962" w:type="dxa"/>
          </w:tcPr>
          <w:p w14:paraId="72B28A0C" w14:textId="77777777" w:rsidR="007E4463" w:rsidRPr="00C56304" w:rsidRDefault="007E4463" w:rsidP="00EF3DCC">
            <w:pPr>
              <w:pStyle w:val="Heading2"/>
              <w:numPr>
                <w:ilvl w:val="0"/>
                <w:numId w:val="37"/>
              </w:numPr>
              <w:ind w:left="455"/>
              <w:outlineLvl w:val="1"/>
              <w:rPr>
                <w:sz w:val="20"/>
                <w:szCs w:val="20"/>
              </w:rPr>
            </w:pPr>
            <w:bookmarkStart w:id="42" w:name="_Toc4661834"/>
            <w:bookmarkStart w:id="43" w:name="_Toc17104609"/>
            <w:r w:rsidRPr="00C56304">
              <w:rPr>
                <w:sz w:val="20"/>
                <w:szCs w:val="20"/>
              </w:rPr>
              <w:lastRenderedPageBreak/>
              <w:t>Definitions – excavation</w:t>
            </w:r>
            <w:bookmarkEnd w:id="42"/>
            <w:bookmarkEnd w:id="43"/>
          </w:p>
          <w:p w14:paraId="72B28A0D" w14:textId="77777777" w:rsidR="007E4463" w:rsidRPr="00C56304" w:rsidRDefault="007E4463" w:rsidP="00EF3DCC">
            <w:pPr>
              <w:pStyle w:val="Heading2"/>
              <w:ind w:left="455"/>
              <w:outlineLvl w:val="1"/>
              <w:rPr>
                <w:sz w:val="20"/>
                <w:szCs w:val="20"/>
              </w:rPr>
            </w:pPr>
          </w:p>
        </w:tc>
        <w:tc>
          <w:tcPr>
            <w:tcW w:w="3365" w:type="dxa"/>
          </w:tcPr>
          <w:p w14:paraId="72B28A0E" w14:textId="74D9E76F" w:rsidR="007E4463" w:rsidRPr="00C56304" w:rsidRDefault="007E4463" w:rsidP="00EF3DCC">
            <w:pPr>
              <w:spacing w:before="120" w:after="120"/>
              <w:rPr>
                <w:rFonts w:ascii="Arial" w:hAnsi="Arial" w:cs="Arial"/>
                <w:sz w:val="20"/>
                <w:szCs w:val="20"/>
              </w:rPr>
            </w:pPr>
            <w:r w:rsidRPr="00C56304">
              <w:rPr>
                <w:rFonts w:ascii="Arial" w:hAnsi="Arial" w:cs="Arial"/>
                <w:sz w:val="20"/>
                <w:szCs w:val="20"/>
              </w:rPr>
              <w:t xml:space="preserve">R. 5 provides for a definition of </w:t>
            </w:r>
            <w:r w:rsidRPr="00C56304">
              <w:rPr>
                <w:rFonts w:ascii="Arial" w:hAnsi="Arial" w:cs="Arial"/>
                <w:b/>
                <w:i/>
                <w:sz w:val="20"/>
                <w:szCs w:val="20"/>
              </w:rPr>
              <w:t>excavation</w:t>
            </w:r>
            <w:r w:rsidRPr="00C56304">
              <w:rPr>
                <w:rFonts w:ascii="Arial" w:hAnsi="Arial" w:cs="Arial"/>
                <w:sz w:val="20"/>
                <w:szCs w:val="20"/>
              </w:rPr>
              <w:t>.  Clause (b) includes a jurisdictional note to insert a</w:t>
            </w:r>
            <w:r w:rsidR="005A40EE">
              <w:rPr>
                <w:rFonts w:ascii="Arial" w:hAnsi="Arial" w:cs="Arial"/>
                <w:sz w:val="20"/>
                <w:szCs w:val="20"/>
              </w:rPr>
              <w:t xml:space="preserve"> relevant water law for bores. </w:t>
            </w:r>
            <w:r w:rsidRPr="00C56304">
              <w:rPr>
                <w:rFonts w:ascii="Arial" w:hAnsi="Arial" w:cs="Arial"/>
                <w:sz w:val="20"/>
                <w:szCs w:val="20"/>
              </w:rPr>
              <w:t xml:space="preserve">The relevant law in Western Australia is the </w:t>
            </w:r>
            <w:r w:rsidRPr="00C56304">
              <w:rPr>
                <w:rFonts w:ascii="Arial" w:hAnsi="Arial" w:cs="Arial"/>
                <w:i/>
                <w:sz w:val="20"/>
                <w:szCs w:val="20"/>
              </w:rPr>
              <w:t>Water Services Act 2012</w:t>
            </w:r>
            <w:r w:rsidRPr="00C56304">
              <w:rPr>
                <w:rFonts w:ascii="Arial" w:hAnsi="Arial" w:cs="Arial"/>
                <w:sz w:val="20"/>
                <w:szCs w:val="20"/>
              </w:rPr>
              <w:t>.</w:t>
            </w:r>
          </w:p>
        </w:tc>
        <w:tc>
          <w:tcPr>
            <w:tcW w:w="2962" w:type="dxa"/>
          </w:tcPr>
          <w:p w14:paraId="72B28A0F" w14:textId="77777777" w:rsidR="007E4463" w:rsidRPr="00C56304" w:rsidRDefault="007E4463" w:rsidP="00EF3DCC">
            <w:pPr>
              <w:pStyle w:val="NoSpacing"/>
              <w:jc w:val="left"/>
              <w:rPr>
                <w:rFonts w:eastAsia="Times New Roman" w:cs="Arial"/>
                <w:color w:val="000000"/>
                <w:sz w:val="20"/>
                <w:szCs w:val="20"/>
                <w:lang w:eastAsia="en-AU"/>
              </w:rPr>
            </w:pPr>
            <w:r w:rsidRPr="00C56304">
              <w:rPr>
                <w:rFonts w:eastAsia="Times New Roman" w:cs="Arial"/>
                <w:color w:val="000000"/>
                <w:sz w:val="20"/>
                <w:szCs w:val="20"/>
                <w:lang w:eastAsia="en-AU"/>
              </w:rPr>
              <w:t xml:space="preserve">No equivalent requiring the prescription of a relevant water law for bores.  </w:t>
            </w:r>
          </w:p>
        </w:tc>
      </w:tr>
      <w:tr w:rsidR="007E4463" w:rsidRPr="00C56304" w14:paraId="72B28A15" w14:textId="77777777" w:rsidTr="00EF3DCC">
        <w:trPr>
          <w:tblHeader/>
        </w:trPr>
        <w:tc>
          <w:tcPr>
            <w:tcW w:w="2962" w:type="dxa"/>
          </w:tcPr>
          <w:p w14:paraId="72B28A11" w14:textId="77777777" w:rsidR="007E4463" w:rsidRPr="00C56304" w:rsidRDefault="007E4463" w:rsidP="00EF3DCC">
            <w:pPr>
              <w:pStyle w:val="Heading2"/>
              <w:numPr>
                <w:ilvl w:val="0"/>
                <w:numId w:val="37"/>
              </w:numPr>
              <w:ind w:left="455"/>
              <w:outlineLvl w:val="1"/>
              <w:rPr>
                <w:sz w:val="20"/>
                <w:szCs w:val="20"/>
              </w:rPr>
            </w:pPr>
            <w:bookmarkStart w:id="44" w:name="_Toc4661835"/>
            <w:bookmarkStart w:id="45" w:name="_Toc17104610"/>
            <w:r w:rsidRPr="00C56304">
              <w:rPr>
                <w:sz w:val="20"/>
                <w:szCs w:val="20"/>
              </w:rPr>
              <w:t>Definitions – primary emergency service organisation</w:t>
            </w:r>
            <w:bookmarkEnd w:id="44"/>
            <w:bookmarkEnd w:id="45"/>
          </w:p>
          <w:p w14:paraId="72B28A12" w14:textId="77777777" w:rsidR="007E4463" w:rsidRPr="00C56304" w:rsidRDefault="007E4463" w:rsidP="00EF3DCC">
            <w:pPr>
              <w:pStyle w:val="Heading2"/>
              <w:ind w:left="455"/>
              <w:outlineLvl w:val="1"/>
              <w:rPr>
                <w:sz w:val="20"/>
                <w:szCs w:val="20"/>
              </w:rPr>
            </w:pPr>
          </w:p>
        </w:tc>
        <w:tc>
          <w:tcPr>
            <w:tcW w:w="3365" w:type="dxa"/>
          </w:tcPr>
          <w:p w14:paraId="72B28A13" w14:textId="5B0787C6" w:rsidR="007E4463" w:rsidRPr="00C56304" w:rsidRDefault="00197CF2" w:rsidP="00EF3DCC">
            <w:pPr>
              <w:spacing w:before="120" w:after="120"/>
              <w:rPr>
                <w:rFonts w:ascii="Arial" w:hAnsi="Arial" w:cs="Arial"/>
                <w:bCs/>
                <w:sz w:val="20"/>
                <w:szCs w:val="20"/>
              </w:rPr>
            </w:pPr>
            <w:r>
              <w:rPr>
                <w:rFonts w:ascii="Arial" w:hAnsi="Arial" w:cs="Arial"/>
                <w:sz w:val="20"/>
                <w:szCs w:val="20"/>
              </w:rPr>
              <w:t xml:space="preserve">R. 5 provides for </w:t>
            </w:r>
            <w:r w:rsidR="007E4463" w:rsidRPr="00C56304">
              <w:rPr>
                <w:rFonts w:ascii="Arial" w:hAnsi="Arial" w:cs="Arial"/>
                <w:sz w:val="20"/>
                <w:szCs w:val="20"/>
              </w:rPr>
              <w:t xml:space="preserve">a definition of a primary emergency service organisation.  A jurisdictional note authorises jurisdictions to determine the primary emergency service organisation.  The definition will include reference to </w:t>
            </w:r>
            <w:r w:rsidR="007E4463" w:rsidRPr="00C56304">
              <w:rPr>
                <w:rFonts w:ascii="Arial" w:hAnsi="Arial" w:cs="Arial"/>
                <w:bCs/>
                <w:sz w:val="20"/>
                <w:szCs w:val="20"/>
              </w:rPr>
              <w:t>“</w:t>
            </w:r>
            <w:r w:rsidR="007E4463" w:rsidRPr="00C56304">
              <w:rPr>
                <w:rFonts w:ascii="Arial" w:hAnsi="Arial" w:cs="Arial"/>
                <w:color w:val="000000"/>
                <w:sz w:val="20"/>
                <w:szCs w:val="20"/>
                <w:lang w:eastAsia="en-AU"/>
              </w:rPr>
              <w:t xml:space="preserve">the department of the Public Service principally assisting in the administration of the </w:t>
            </w:r>
            <w:r w:rsidR="007E4463" w:rsidRPr="00C56304">
              <w:rPr>
                <w:rFonts w:ascii="Arial" w:hAnsi="Arial" w:cs="Arial"/>
                <w:i/>
                <w:color w:val="000000"/>
                <w:sz w:val="20"/>
                <w:szCs w:val="20"/>
                <w:lang w:eastAsia="en-AU"/>
              </w:rPr>
              <w:t>Fire and Emergency Services Act 1998</w:t>
            </w:r>
            <w:r w:rsidR="007E4463" w:rsidRPr="00C56304">
              <w:rPr>
                <w:rFonts w:ascii="Arial" w:hAnsi="Arial" w:cs="Arial"/>
                <w:bCs/>
                <w:sz w:val="20"/>
                <w:szCs w:val="20"/>
              </w:rPr>
              <w:t>”.</w:t>
            </w:r>
          </w:p>
        </w:tc>
        <w:tc>
          <w:tcPr>
            <w:tcW w:w="2962" w:type="dxa"/>
          </w:tcPr>
          <w:p w14:paraId="72B28A14" w14:textId="77777777" w:rsidR="007E4463" w:rsidRPr="00C56304" w:rsidRDefault="007E4463" w:rsidP="00EF3DCC">
            <w:pPr>
              <w:pStyle w:val="NoSpacing"/>
              <w:jc w:val="left"/>
              <w:rPr>
                <w:rFonts w:eastAsia="Times New Roman" w:cs="Arial"/>
                <w:color w:val="000000"/>
                <w:sz w:val="20"/>
                <w:szCs w:val="20"/>
                <w:lang w:eastAsia="en-AU"/>
              </w:rPr>
            </w:pPr>
            <w:r w:rsidRPr="00C56304">
              <w:rPr>
                <w:rFonts w:eastAsia="Times New Roman" w:cs="Arial"/>
                <w:color w:val="000000"/>
                <w:sz w:val="20"/>
                <w:szCs w:val="20"/>
                <w:lang w:eastAsia="en-AU"/>
              </w:rPr>
              <w:t xml:space="preserve">No equivalent requiring the prescription of a primary emergency service organisation.  </w:t>
            </w:r>
          </w:p>
        </w:tc>
      </w:tr>
      <w:tr w:rsidR="007E4463" w:rsidRPr="00C56304" w14:paraId="72B28A26" w14:textId="77777777" w:rsidTr="00EF3DCC">
        <w:trPr>
          <w:tblHeader/>
        </w:trPr>
        <w:tc>
          <w:tcPr>
            <w:tcW w:w="2962" w:type="dxa"/>
          </w:tcPr>
          <w:p w14:paraId="72B28A16" w14:textId="77777777" w:rsidR="007E4463" w:rsidRPr="00C56304" w:rsidRDefault="007E4463" w:rsidP="00EF3DCC">
            <w:pPr>
              <w:pStyle w:val="Heading2"/>
              <w:numPr>
                <w:ilvl w:val="0"/>
                <w:numId w:val="37"/>
              </w:numPr>
              <w:ind w:left="455"/>
              <w:outlineLvl w:val="1"/>
              <w:rPr>
                <w:sz w:val="20"/>
                <w:szCs w:val="20"/>
              </w:rPr>
            </w:pPr>
            <w:bookmarkStart w:id="46" w:name="_Toc451257367"/>
            <w:bookmarkStart w:id="47" w:name="_Toc451422086"/>
            <w:bookmarkStart w:id="48" w:name="_Toc451437299"/>
            <w:bookmarkStart w:id="49" w:name="_Toc4661836"/>
            <w:bookmarkStart w:id="50" w:name="_Toc17104611"/>
            <w:r w:rsidRPr="00C56304">
              <w:rPr>
                <w:sz w:val="20"/>
                <w:szCs w:val="20"/>
              </w:rPr>
              <w:t>Definitions – rigging work</w:t>
            </w:r>
            <w:bookmarkEnd w:id="46"/>
            <w:bookmarkEnd w:id="47"/>
            <w:bookmarkEnd w:id="48"/>
            <w:bookmarkEnd w:id="49"/>
            <w:bookmarkEnd w:id="50"/>
          </w:p>
          <w:p w14:paraId="72B28A17" w14:textId="77777777" w:rsidR="007E4463" w:rsidRPr="00C56304" w:rsidRDefault="007E4463" w:rsidP="00EF3DCC">
            <w:pPr>
              <w:pStyle w:val="Heading2"/>
              <w:ind w:left="455"/>
              <w:outlineLvl w:val="1"/>
              <w:rPr>
                <w:sz w:val="20"/>
                <w:szCs w:val="20"/>
              </w:rPr>
            </w:pPr>
          </w:p>
        </w:tc>
        <w:tc>
          <w:tcPr>
            <w:tcW w:w="3365" w:type="dxa"/>
          </w:tcPr>
          <w:p w14:paraId="72B28A18" w14:textId="59DD48DF" w:rsidR="007E4463" w:rsidRPr="00C56304" w:rsidRDefault="007E4463" w:rsidP="00EF3DCC">
            <w:pPr>
              <w:pStyle w:val="NoSpacing"/>
              <w:jc w:val="left"/>
              <w:rPr>
                <w:rFonts w:cs="Arial"/>
                <w:sz w:val="20"/>
                <w:szCs w:val="20"/>
              </w:rPr>
            </w:pPr>
            <w:r w:rsidRPr="00C56304">
              <w:rPr>
                <w:rFonts w:cs="Arial"/>
                <w:sz w:val="20"/>
                <w:szCs w:val="20"/>
              </w:rPr>
              <w:t xml:space="preserve">The definition of ‘rigging work’ provided in r. 5 is not the same as the definition in Division 3 of Schedule 6.3 in the OSH regulations.  In addition, the WHS definition is not consistent with the </w:t>
            </w:r>
            <w:r w:rsidRPr="00C56304">
              <w:rPr>
                <w:rFonts w:cs="Arial"/>
                <w:i/>
                <w:sz w:val="20"/>
                <w:szCs w:val="20"/>
              </w:rPr>
              <w:t xml:space="preserve">National Occupational Health and Safety Certification Standard for Users and Operators of Industrial Equipment [NOHSC: 1006 (2001)] 3rd Edition July 2001 </w:t>
            </w:r>
            <w:r w:rsidR="005A40EE">
              <w:rPr>
                <w:rFonts w:cs="Arial"/>
                <w:sz w:val="20"/>
                <w:szCs w:val="20"/>
              </w:rPr>
              <w:t xml:space="preserve">(NOHSC:1006). </w:t>
            </w:r>
            <w:r w:rsidRPr="00C56304">
              <w:rPr>
                <w:rFonts w:cs="Arial"/>
                <w:sz w:val="20"/>
                <w:szCs w:val="20"/>
              </w:rPr>
              <w:t xml:space="preserve">The difference in the text is highlighted below by being </w:t>
            </w:r>
            <w:r w:rsidRPr="00C56304">
              <w:rPr>
                <w:rFonts w:cs="Arial"/>
                <w:sz w:val="20"/>
                <w:szCs w:val="20"/>
                <w:u w:val="single"/>
              </w:rPr>
              <w:t>underlined</w:t>
            </w:r>
            <w:r w:rsidRPr="00C56304">
              <w:rPr>
                <w:rFonts w:cs="Arial"/>
                <w:sz w:val="20"/>
                <w:szCs w:val="20"/>
              </w:rPr>
              <w:t xml:space="preserve">.  </w:t>
            </w:r>
          </w:p>
          <w:tbl>
            <w:tblPr>
              <w:tblStyle w:val="TableGrid"/>
              <w:tblW w:w="0" w:type="auto"/>
              <w:tblLook w:val="04A0" w:firstRow="1" w:lastRow="0" w:firstColumn="1" w:lastColumn="0" w:noHBand="0" w:noVBand="1"/>
            </w:tblPr>
            <w:tblGrid>
              <w:gridCol w:w="1439"/>
              <w:gridCol w:w="1700"/>
            </w:tblGrid>
            <w:tr w:rsidR="007E4463" w:rsidRPr="00C56304" w14:paraId="72B28A1B" w14:textId="77777777" w:rsidTr="00B23B2F">
              <w:tc>
                <w:tcPr>
                  <w:tcW w:w="897" w:type="dxa"/>
                </w:tcPr>
                <w:p w14:paraId="72B28A19" w14:textId="77777777" w:rsidR="007E4463" w:rsidRPr="00C56304" w:rsidRDefault="007E4463" w:rsidP="00355E48">
                  <w:pPr>
                    <w:pStyle w:val="NoSpacing"/>
                    <w:framePr w:hSpace="181" w:wrap="around" w:vAnchor="text" w:hAnchor="text" w:y="1"/>
                    <w:jc w:val="left"/>
                    <w:rPr>
                      <w:rFonts w:cs="Arial"/>
                      <w:sz w:val="20"/>
                      <w:szCs w:val="20"/>
                    </w:rPr>
                  </w:pPr>
                  <w:r w:rsidRPr="00C56304">
                    <w:rPr>
                      <w:rFonts w:cs="Arial"/>
                      <w:sz w:val="20"/>
                      <w:szCs w:val="20"/>
                    </w:rPr>
                    <w:t>WHS r. 5</w:t>
                  </w:r>
                </w:p>
              </w:tc>
              <w:tc>
                <w:tcPr>
                  <w:tcW w:w="2217" w:type="dxa"/>
                </w:tcPr>
                <w:p w14:paraId="72B28A1A" w14:textId="77777777" w:rsidR="007E4463" w:rsidRPr="00C56304" w:rsidRDefault="007E4463" w:rsidP="00355E48">
                  <w:pPr>
                    <w:pStyle w:val="NoSpacing"/>
                    <w:framePr w:hSpace="181" w:wrap="around" w:vAnchor="text" w:hAnchor="text" w:y="1"/>
                    <w:jc w:val="left"/>
                    <w:rPr>
                      <w:rFonts w:cs="Arial"/>
                      <w:sz w:val="20"/>
                      <w:szCs w:val="20"/>
                    </w:rPr>
                  </w:pPr>
                  <w:r w:rsidRPr="00C56304">
                    <w:rPr>
                      <w:rFonts w:cs="Arial"/>
                      <w:sz w:val="20"/>
                      <w:szCs w:val="20"/>
                    </w:rPr>
                    <w:t xml:space="preserve">“… mechanical load shifting equipment and associated gear to move, place or secure a load </w:t>
                  </w:r>
                  <w:r w:rsidRPr="00C56304">
                    <w:rPr>
                      <w:rFonts w:cs="Arial"/>
                      <w:sz w:val="20"/>
                      <w:szCs w:val="20"/>
                      <w:u w:val="single"/>
                    </w:rPr>
                    <w:t>using</w:t>
                  </w:r>
                  <w:r w:rsidRPr="00C56304">
                    <w:rPr>
                      <w:rFonts w:cs="Arial"/>
                      <w:sz w:val="20"/>
                      <w:szCs w:val="20"/>
                    </w:rPr>
                    <w:t xml:space="preserve"> plant, equipment or members of a building … ”</w:t>
                  </w:r>
                </w:p>
              </w:tc>
            </w:tr>
            <w:tr w:rsidR="007E4463" w:rsidRPr="00C56304" w14:paraId="72B28A1E" w14:textId="77777777" w:rsidTr="00B23B2F">
              <w:tc>
                <w:tcPr>
                  <w:tcW w:w="897" w:type="dxa"/>
                </w:tcPr>
                <w:p w14:paraId="72B28A1C" w14:textId="77777777" w:rsidR="007E4463" w:rsidRPr="00C56304" w:rsidRDefault="007E4463" w:rsidP="00355E48">
                  <w:pPr>
                    <w:pStyle w:val="NoSpacing"/>
                    <w:framePr w:hSpace="181" w:wrap="around" w:vAnchor="text" w:hAnchor="text" w:y="1"/>
                    <w:jc w:val="left"/>
                    <w:rPr>
                      <w:rFonts w:cs="Arial"/>
                      <w:sz w:val="20"/>
                      <w:szCs w:val="20"/>
                    </w:rPr>
                  </w:pPr>
                  <w:r w:rsidRPr="00C56304">
                    <w:rPr>
                      <w:rFonts w:cs="Arial"/>
                      <w:sz w:val="20"/>
                      <w:szCs w:val="20"/>
                    </w:rPr>
                    <w:t>NOHSC:1006</w:t>
                  </w:r>
                </w:p>
              </w:tc>
              <w:tc>
                <w:tcPr>
                  <w:tcW w:w="2217" w:type="dxa"/>
                </w:tcPr>
                <w:p w14:paraId="72B28A1D" w14:textId="77777777" w:rsidR="007E4463" w:rsidRPr="00C56304" w:rsidRDefault="007E4463" w:rsidP="00355E48">
                  <w:pPr>
                    <w:framePr w:hSpace="181" w:wrap="around" w:vAnchor="text" w:hAnchor="text" w:y="1"/>
                    <w:autoSpaceDE w:val="0"/>
                    <w:autoSpaceDN w:val="0"/>
                    <w:adjustRightInd w:val="0"/>
                    <w:spacing w:before="120" w:after="120"/>
                    <w:rPr>
                      <w:rFonts w:ascii="Arial" w:hAnsi="Arial" w:cs="Arial"/>
                      <w:sz w:val="20"/>
                      <w:szCs w:val="20"/>
                    </w:rPr>
                  </w:pPr>
                  <w:r w:rsidRPr="00C56304">
                    <w:rPr>
                      <w:rFonts w:ascii="Arial" w:hAnsi="Arial" w:cs="Arial"/>
                      <w:sz w:val="20"/>
                      <w:szCs w:val="20"/>
                    </w:rPr>
                    <w:t xml:space="preserve">“… mechanical load shifting equipment and associated gear to move, place or secure a load </w:t>
                  </w:r>
                  <w:r w:rsidRPr="00C56304">
                    <w:rPr>
                      <w:rFonts w:ascii="Arial" w:hAnsi="Arial" w:cs="Arial"/>
                      <w:sz w:val="20"/>
                      <w:szCs w:val="20"/>
                      <w:u w:val="single"/>
                    </w:rPr>
                    <w:t>including</w:t>
                  </w:r>
                  <w:r w:rsidRPr="00C56304">
                    <w:rPr>
                      <w:rFonts w:ascii="Arial" w:hAnsi="Arial" w:cs="Arial"/>
                      <w:sz w:val="20"/>
                      <w:szCs w:val="20"/>
                    </w:rPr>
                    <w:t xml:space="preserve"> plant, equipment or members of a building … ”</w:t>
                  </w:r>
                </w:p>
              </w:tc>
            </w:tr>
          </w:tbl>
          <w:p w14:paraId="72B28A1F" w14:textId="77777777" w:rsidR="007E4463" w:rsidRPr="00C56304" w:rsidRDefault="007E4463" w:rsidP="00EF3DCC">
            <w:pPr>
              <w:pStyle w:val="NoSpacing"/>
              <w:jc w:val="left"/>
              <w:rPr>
                <w:rFonts w:cs="Arial"/>
                <w:sz w:val="20"/>
                <w:szCs w:val="20"/>
              </w:rPr>
            </w:pPr>
            <w:r w:rsidRPr="00C56304">
              <w:rPr>
                <w:rFonts w:cs="Arial"/>
                <w:sz w:val="20"/>
                <w:szCs w:val="20"/>
              </w:rPr>
              <w:t>The consequence of the word change is:</w:t>
            </w:r>
          </w:p>
          <w:p w14:paraId="72B28A20" w14:textId="77777777" w:rsidR="007E4463" w:rsidRPr="00C56304" w:rsidRDefault="007E4463" w:rsidP="00EF3DCC">
            <w:pPr>
              <w:pStyle w:val="NoSpacing"/>
              <w:numPr>
                <w:ilvl w:val="0"/>
                <w:numId w:val="22"/>
              </w:numPr>
              <w:tabs>
                <w:tab w:val="clear" w:pos="720"/>
              </w:tabs>
              <w:ind w:left="334" w:hanging="334"/>
              <w:jc w:val="left"/>
              <w:rPr>
                <w:rFonts w:cs="Arial"/>
                <w:sz w:val="20"/>
                <w:szCs w:val="20"/>
              </w:rPr>
            </w:pPr>
            <w:r w:rsidRPr="00C56304">
              <w:rPr>
                <w:rFonts w:cs="Arial"/>
                <w:sz w:val="20"/>
                <w:szCs w:val="20"/>
              </w:rPr>
              <w:t xml:space="preserve">WHS r. 5 definition, rigging work will involve a load being </w:t>
            </w:r>
            <w:r w:rsidRPr="00C56304">
              <w:rPr>
                <w:rFonts w:cs="Arial"/>
                <w:sz w:val="20"/>
                <w:szCs w:val="20"/>
              </w:rPr>
              <w:lastRenderedPageBreak/>
              <w:t xml:space="preserve">moved by </w:t>
            </w:r>
            <w:r w:rsidRPr="00C56304">
              <w:rPr>
                <w:rFonts w:cs="Arial"/>
                <w:sz w:val="20"/>
                <w:szCs w:val="20"/>
                <w:u w:val="single"/>
              </w:rPr>
              <w:t>using</w:t>
            </w:r>
            <w:r w:rsidRPr="00C56304">
              <w:rPr>
                <w:rFonts w:cs="Arial"/>
                <w:sz w:val="20"/>
                <w:szCs w:val="20"/>
              </w:rPr>
              <w:t xml:space="preserve"> plant, equipment or members of a building …”.  It is not clear how a load could be moved by using members of a building.  </w:t>
            </w:r>
          </w:p>
          <w:p w14:paraId="72B28A21" w14:textId="77777777" w:rsidR="007E4463" w:rsidRPr="00C56304" w:rsidRDefault="007E4463" w:rsidP="00EF3DCC">
            <w:pPr>
              <w:pStyle w:val="NoSpacing"/>
              <w:numPr>
                <w:ilvl w:val="0"/>
                <w:numId w:val="22"/>
              </w:numPr>
              <w:tabs>
                <w:tab w:val="clear" w:pos="720"/>
              </w:tabs>
              <w:ind w:left="334" w:hanging="334"/>
              <w:jc w:val="left"/>
              <w:rPr>
                <w:rFonts w:cs="Arial"/>
                <w:sz w:val="20"/>
                <w:szCs w:val="20"/>
              </w:rPr>
            </w:pPr>
            <w:r w:rsidRPr="00C56304">
              <w:rPr>
                <w:rFonts w:cs="Arial"/>
                <w:sz w:val="20"/>
                <w:szCs w:val="20"/>
              </w:rPr>
              <w:t xml:space="preserve">The NOHSC 1006 text means that the load </w:t>
            </w:r>
            <w:r w:rsidRPr="00C56304">
              <w:rPr>
                <w:rFonts w:cs="Arial"/>
                <w:sz w:val="20"/>
                <w:szCs w:val="20"/>
                <w:u w:val="single"/>
              </w:rPr>
              <w:t>includes</w:t>
            </w:r>
            <w:r w:rsidRPr="00C56304">
              <w:rPr>
                <w:rFonts w:cs="Arial"/>
                <w:sz w:val="20"/>
                <w:szCs w:val="20"/>
              </w:rPr>
              <w:t xml:space="preserve"> plant, equipment or members of a building …”.  The plant, equipment or members of a building … would not be used to move a load.     </w:t>
            </w:r>
          </w:p>
          <w:p w14:paraId="72B28A22" w14:textId="320678FE" w:rsidR="007E4463" w:rsidRPr="00C56304" w:rsidRDefault="009123A2" w:rsidP="00EF3DCC">
            <w:pPr>
              <w:pStyle w:val="NoSpacing"/>
              <w:jc w:val="left"/>
              <w:rPr>
                <w:rFonts w:cs="Arial"/>
                <w:sz w:val="20"/>
                <w:szCs w:val="20"/>
              </w:rPr>
            </w:pPr>
            <w:r>
              <w:rPr>
                <w:rFonts w:cs="Arial"/>
                <w:sz w:val="20"/>
                <w:szCs w:val="20"/>
              </w:rPr>
              <w:t>The Department of Mines, Industry Regulation and Safety (</w:t>
            </w:r>
            <w:r w:rsidR="007E4463" w:rsidRPr="00C56304">
              <w:rPr>
                <w:rFonts w:cs="Arial"/>
                <w:sz w:val="20"/>
                <w:szCs w:val="20"/>
              </w:rPr>
              <w:t>DMIRS</w:t>
            </w:r>
            <w:r>
              <w:rPr>
                <w:rFonts w:cs="Arial"/>
                <w:sz w:val="20"/>
                <w:szCs w:val="20"/>
              </w:rPr>
              <w:t>)</w:t>
            </w:r>
            <w:r w:rsidR="007E4463" w:rsidRPr="00C56304">
              <w:rPr>
                <w:rFonts w:cs="Arial"/>
                <w:sz w:val="20"/>
                <w:szCs w:val="20"/>
              </w:rPr>
              <w:t xml:space="preserve"> raised this matter with </w:t>
            </w:r>
            <w:r w:rsidR="004160FC">
              <w:rPr>
                <w:rFonts w:cs="Arial"/>
                <w:sz w:val="20"/>
                <w:szCs w:val="20"/>
              </w:rPr>
              <w:t>Safe Work Australia (</w:t>
            </w:r>
            <w:r w:rsidR="007E4463" w:rsidRPr="00C56304">
              <w:rPr>
                <w:rFonts w:cs="Arial"/>
                <w:sz w:val="20"/>
                <w:szCs w:val="20"/>
              </w:rPr>
              <w:t>SWA</w:t>
            </w:r>
            <w:r w:rsidR="004160FC">
              <w:rPr>
                <w:rFonts w:cs="Arial"/>
                <w:sz w:val="20"/>
                <w:szCs w:val="20"/>
              </w:rPr>
              <w:t>)</w:t>
            </w:r>
            <w:r w:rsidR="007E4463" w:rsidRPr="00C56304">
              <w:rPr>
                <w:rFonts w:cs="Arial"/>
                <w:sz w:val="20"/>
                <w:szCs w:val="20"/>
              </w:rPr>
              <w:t xml:space="preserve"> in 2015.  However, as other stakeholders did not support correcting this apparent error, the national model WHS regulations have not been amended.  </w:t>
            </w:r>
          </w:p>
        </w:tc>
        <w:tc>
          <w:tcPr>
            <w:tcW w:w="2962" w:type="dxa"/>
          </w:tcPr>
          <w:p w14:paraId="72B28A23" w14:textId="77777777" w:rsidR="007E4463" w:rsidRPr="00C56304" w:rsidRDefault="007E4463" w:rsidP="00EF3DCC">
            <w:pPr>
              <w:autoSpaceDE w:val="0"/>
              <w:autoSpaceDN w:val="0"/>
              <w:adjustRightInd w:val="0"/>
              <w:spacing w:before="120" w:after="120"/>
              <w:rPr>
                <w:rFonts w:ascii="Arial" w:hAnsi="Arial" w:cs="Arial"/>
                <w:sz w:val="20"/>
                <w:szCs w:val="20"/>
              </w:rPr>
            </w:pPr>
            <w:r w:rsidRPr="00C56304">
              <w:rPr>
                <w:rFonts w:ascii="Arial" w:hAnsi="Arial" w:cs="Arial"/>
                <w:sz w:val="20"/>
                <w:szCs w:val="20"/>
              </w:rPr>
              <w:lastRenderedPageBreak/>
              <w:t>rigging work means —</w:t>
            </w:r>
          </w:p>
          <w:p w14:paraId="72B28A24" w14:textId="77777777" w:rsidR="007E4463" w:rsidRPr="00C56304" w:rsidRDefault="007E4463" w:rsidP="00EF3DCC">
            <w:pPr>
              <w:pStyle w:val="ListParagraph"/>
              <w:numPr>
                <w:ilvl w:val="0"/>
                <w:numId w:val="20"/>
              </w:numPr>
              <w:autoSpaceDE w:val="0"/>
              <w:autoSpaceDN w:val="0"/>
              <w:adjustRightInd w:val="0"/>
              <w:spacing w:before="120" w:after="120"/>
              <w:rPr>
                <w:rFonts w:ascii="Arial" w:hAnsi="Arial" w:cs="Arial"/>
                <w:sz w:val="20"/>
                <w:szCs w:val="20"/>
              </w:rPr>
            </w:pPr>
            <w:r w:rsidRPr="00C56304">
              <w:rPr>
                <w:rFonts w:ascii="Arial" w:hAnsi="Arial" w:cs="Arial"/>
                <w:sz w:val="20"/>
                <w:szCs w:val="20"/>
              </w:rPr>
              <w:t>moving, placing or securing a load (such as plant, equipment or members of a building or structure) using mechanical load shifting equipment but does not include operation of the mechanical load shifting equipment; or</w:t>
            </w:r>
          </w:p>
          <w:p w14:paraId="72B28A25" w14:textId="77777777" w:rsidR="007E4463" w:rsidRPr="00C56304" w:rsidRDefault="007E4463" w:rsidP="00EF3DCC">
            <w:pPr>
              <w:pStyle w:val="ListParagraph"/>
              <w:numPr>
                <w:ilvl w:val="0"/>
                <w:numId w:val="20"/>
              </w:numPr>
              <w:autoSpaceDE w:val="0"/>
              <w:autoSpaceDN w:val="0"/>
              <w:adjustRightInd w:val="0"/>
              <w:spacing w:before="120" w:after="120"/>
              <w:rPr>
                <w:rFonts w:ascii="Arial" w:hAnsi="Arial" w:cs="Arial"/>
                <w:sz w:val="20"/>
                <w:szCs w:val="20"/>
              </w:rPr>
            </w:pPr>
            <w:r w:rsidRPr="00C56304">
              <w:rPr>
                <w:rFonts w:ascii="Arial" w:hAnsi="Arial" w:cs="Arial"/>
                <w:sz w:val="20"/>
                <w:szCs w:val="20"/>
              </w:rPr>
              <w:t>erecting or dismantling cranes or hoists.</w:t>
            </w:r>
          </w:p>
        </w:tc>
      </w:tr>
      <w:tr w:rsidR="00197CF2" w:rsidRPr="00C56304" w14:paraId="7B7CEA03" w14:textId="77777777" w:rsidTr="00EF3DCC">
        <w:trPr>
          <w:tblHeader/>
        </w:trPr>
        <w:tc>
          <w:tcPr>
            <w:tcW w:w="2962" w:type="dxa"/>
          </w:tcPr>
          <w:p w14:paraId="1B1106F0" w14:textId="1FB873BD" w:rsidR="00197CF2" w:rsidRPr="00C56304" w:rsidRDefault="00197CF2" w:rsidP="00EF3DCC">
            <w:pPr>
              <w:pStyle w:val="Heading2"/>
              <w:numPr>
                <w:ilvl w:val="0"/>
                <w:numId w:val="37"/>
              </w:numPr>
              <w:ind w:left="455"/>
              <w:outlineLvl w:val="1"/>
              <w:rPr>
                <w:sz w:val="20"/>
                <w:szCs w:val="20"/>
              </w:rPr>
            </w:pPr>
            <w:bookmarkStart w:id="51" w:name="_Toc17104612"/>
            <w:r w:rsidRPr="00197CF2">
              <w:rPr>
                <w:sz w:val="20"/>
                <w:szCs w:val="20"/>
              </w:rPr>
              <w:t>Specified VET course - Asbestos</w:t>
            </w:r>
            <w:bookmarkEnd w:id="51"/>
          </w:p>
        </w:tc>
        <w:tc>
          <w:tcPr>
            <w:tcW w:w="3365" w:type="dxa"/>
          </w:tcPr>
          <w:p w14:paraId="023CD503" w14:textId="77777777" w:rsidR="00197CF2" w:rsidRPr="00197CF2" w:rsidRDefault="00197CF2" w:rsidP="00EF3DCC">
            <w:pPr>
              <w:spacing w:after="120"/>
              <w:rPr>
                <w:rFonts w:ascii="Arial" w:hAnsi="Arial" w:cs="Arial"/>
                <w:bCs/>
                <w:sz w:val="20"/>
                <w:szCs w:val="20"/>
              </w:rPr>
            </w:pPr>
            <w:r w:rsidRPr="00197CF2">
              <w:rPr>
                <w:rFonts w:ascii="Arial" w:hAnsi="Arial" w:cs="Arial"/>
                <w:bCs/>
                <w:sz w:val="20"/>
                <w:szCs w:val="20"/>
              </w:rPr>
              <w:t>The WHS regulations prescribe the following asbestos specified VET courses:</w:t>
            </w:r>
          </w:p>
          <w:p w14:paraId="72C472CF" w14:textId="77777777" w:rsidR="00197CF2" w:rsidRPr="00197CF2" w:rsidRDefault="00197CF2" w:rsidP="00EF3DCC">
            <w:pPr>
              <w:pStyle w:val="ListParagraph"/>
              <w:numPr>
                <w:ilvl w:val="0"/>
                <w:numId w:val="36"/>
              </w:numPr>
              <w:spacing w:after="120"/>
              <w:ind w:left="335"/>
              <w:contextualSpacing w:val="0"/>
              <w:rPr>
                <w:rFonts w:ascii="Arial" w:hAnsi="Arial" w:cs="Arial"/>
                <w:bCs/>
                <w:sz w:val="20"/>
                <w:szCs w:val="20"/>
              </w:rPr>
            </w:pPr>
            <w:r w:rsidRPr="00197CF2">
              <w:rPr>
                <w:rFonts w:ascii="Arial" w:hAnsi="Arial" w:cs="Arial"/>
                <w:bCs/>
                <w:sz w:val="20"/>
                <w:szCs w:val="20"/>
              </w:rPr>
              <w:t>in relation to Class A asbestos removal work—the VET course Remove friable asbestos; or</w:t>
            </w:r>
          </w:p>
          <w:p w14:paraId="75755B2C" w14:textId="77777777" w:rsidR="00197CF2" w:rsidRPr="00197CF2" w:rsidRDefault="00197CF2" w:rsidP="00EF3DCC">
            <w:pPr>
              <w:pStyle w:val="ListParagraph"/>
              <w:numPr>
                <w:ilvl w:val="0"/>
                <w:numId w:val="36"/>
              </w:numPr>
              <w:spacing w:after="120"/>
              <w:ind w:left="335"/>
              <w:contextualSpacing w:val="0"/>
              <w:rPr>
                <w:rFonts w:ascii="Arial" w:hAnsi="Arial" w:cs="Arial"/>
                <w:bCs/>
                <w:sz w:val="20"/>
                <w:szCs w:val="20"/>
              </w:rPr>
            </w:pPr>
            <w:r w:rsidRPr="00197CF2">
              <w:rPr>
                <w:rFonts w:ascii="Arial" w:hAnsi="Arial" w:cs="Arial"/>
                <w:bCs/>
                <w:sz w:val="20"/>
                <w:szCs w:val="20"/>
              </w:rPr>
              <w:t xml:space="preserve">in relation to Class B asbestos removal work—the VET course Remove non friable asbestos; or </w:t>
            </w:r>
          </w:p>
          <w:p w14:paraId="32378E03" w14:textId="77777777" w:rsidR="00197CF2" w:rsidRPr="00197CF2" w:rsidRDefault="00197CF2" w:rsidP="00EF3DCC">
            <w:pPr>
              <w:pStyle w:val="ListParagraph"/>
              <w:numPr>
                <w:ilvl w:val="0"/>
                <w:numId w:val="36"/>
              </w:numPr>
              <w:spacing w:after="120"/>
              <w:ind w:left="335"/>
              <w:contextualSpacing w:val="0"/>
              <w:rPr>
                <w:rFonts w:ascii="Arial" w:hAnsi="Arial" w:cs="Arial"/>
                <w:bCs/>
                <w:sz w:val="20"/>
                <w:szCs w:val="20"/>
              </w:rPr>
            </w:pPr>
            <w:r w:rsidRPr="00197CF2">
              <w:rPr>
                <w:rFonts w:ascii="Arial" w:hAnsi="Arial" w:cs="Arial"/>
                <w:bCs/>
                <w:sz w:val="20"/>
                <w:szCs w:val="20"/>
              </w:rPr>
              <w:t xml:space="preserve">in relation to the supervision of asbestos removal work—the VET course Supervise asbestos removal; or </w:t>
            </w:r>
          </w:p>
          <w:p w14:paraId="7743F19C" w14:textId="184FD9A4" w:rsidR="00197CF2" w:rsidRPr="00C56304" w:rsidRDefault="00197CF2" w:rsidP="00EF3DCC">
            <w:pPr>
              <w:pStyle w:val="NoSpacing"/>
              <w:jc w:val="left"/>
              <w:rPr>
                <w:rFonts w:cs="Arial"/>
                <w:sz w:val="20"/>
                <w:szCs w:val="20"/>
              </w:rPr>
            </w:pPr>
            <w:r w:rsidRPr="00197CF2">
              <w:rPr>
                <w:rFonts w:eastAsia="Times New Roman" w:cs="Arial"/>
                <w:bCs/>
                <w:sz w:val="20"/>
                <w:szCs w:val="20"/>
              </w:rPr>
              <w:t>in relation to asbestos assessor work—the VET course Conduct asbestos assessment associated with removal;</w:t>
            </w:r>
          </w:p>
        </w:tc>
        <w:tc>
          <w:tcPr>
            <w:tcW w:w="2962" w:type="dxa"/>
          </w:tcPr>
          <w:p w14:paraId="0498F85E" w14:textId="4A5D262B" w:rsidR="00197CF2" w:rsidRPr="00197CF2" w:rsidRDefault="00197CF2" w:rsidP="00EF3DCC">
            <w:pPr>
              <w:autoSpaceDE w:val="0"/>
              <w:autoSpaceDN w:val="0"/>
              <w:adjustRightInd w:val="0"/>
              <w:spacing w:before="120" w:after="120"/>
              <w:rPr>
                <w:rFonts w:ascii="Arial" w:hAnsi="Arial" w:cs="Arial"/>
                <w:color w:val="000000"/>
                <w:sz w:val="20"/>
                <w:szCs w:val="20"/>
                <w:lang w:eastAsia="en-AU"/>
              </w:rPr>
            </w:pPr>
            <w:r w:rsidRPr="00197CF2">
              <w:rPr>
                <w:rFonts w:ascii="Arial" w:hAnsi="Arial" w:cs="Arial"/>
                <w:color w:val="000000"/>
                <w:sz w:val="20"/>
                <w:szCs w:val="20"/>
                <w:lang w:eastAsia="en-AU"/>
              </w:rPr>
              <w:t xml:space="preserve">The OSH regulations do not prescribe specified VET courses for asbestos removal work.  However, the Remove friable asbestos course is included in the conditions for an Unrestricted asbestos removal licence.  </w:t>
            </w:r>
          </w:p>
        </w:tc>
      </w:tr>
      <w:tr w:rsidR="007E4463" w:rsidRPr="00C56304" w14:paraId="72B28A2B" w14:textId="77777777" w:rsidTr="00EF3DCC">
        <w:trPr>
          <w:tblHeader/>
        </w:trPr>
        <w:tc>
          <w:tcPr>
            <w:tcW w:w="2962" w:type="dxa"/>
          </w:tcPr>
          <w:p w14:paraId="72B28A27" w14:textId="77777777" w:rsidR="007E4463" w:rsidRPr="00C56304" w:rsidRDefault="007E4463" w:rsidP="00EF3DCC">
            <w:pPr>
              <w:pStyle w:val="Heading2"/>
              <w:numPr>
                <w:ilvl w:val="0"/>
                <w:numId w:val="37"/>
              </w:numPr>
              <w:ind w:left="455"/>
              <w:outlineLvl w:val="1"/>
              <w:rPr>
                <w:sz w:val="20"/>
                <w:szCs w:val="20"/>
              </w:rPr>
            </w:pPr>
            <w:bookmarkStart w:id="52" w:name="_Toc4661837"/>
            <w:bookmarkStart w:id="53" w:name="_Toc17104613"/>
            <w:r w:rsidRPr="00C56304">
              <w:rPr>
                <w:sz w:val="20"/>
                <w:szCs w:val="20"/>
              </w:rPr>
              <w:t>Meaning of person conducting a business or undertaking – person excluded</w:t>
            </w:r>
            <w:bookmarkEnd w:id="52"/>
            <w:bookmarkEnd w:id="53"/>
          </w:p>
          <w:p w14:paraId="72B28A28" w14:textId="77777777" w:rsidR="007E4463" w:rsidRPr="00C56304" w:rsidRDefault="007E4463" w:rsidP="00EF3DCC">
            <w:pPr>
              <w:pStyle w:val="Heading2"/>
              <w:outlineLvl w:val="1"/>
              <w:rPr>
                <w:sz w:val="20"/>
                <w:szCs w:val="20"/>
              </w:rPr>
            </w:pPr>
          </w:p>
        </w:tc>
        <w:tc>
          <w:tcPr>
            <w:tcW w:w="3365" w:type="dxa"/>
          </w:tcPr>
          <w:p w14:paraId="72B28A29" w14:textId="41083A6F" w:rsidR="007E4463" w:rsidRPr="00C56304" w:rsidRDefault="007E4463" w:rsidP="00EF3DCC">
            <w:pPr>
              <w:spacing w:before="120" w:after="120"/>
              <w:rPr>
                <w:rFonts w:ascii="Arial" w:hAnsi="Arial" w:cs="Arial"/>
                <w:bCs/>
                <w:sz w:val="20"/>
                <w:szCs w:val="20"/>
              </w:rPr>
            </w:pPr>
            <w:r w:rsidRPr="00C56304">
              <w:rPr>
                <w:rFonts w:ascii="Arial" w:hAnsi="Arial" w:cs="Arial"/>
                <w:bCs/>
                <w:sz w:val="20"/>
                <w:szCs w:val="20"/>
              </w:rPr>
              <w:t xml:space="preserve">R. 7 makes reference to a “strata title body corporate”.  For consistency with existing Western Australian strata laws, </w:t>
            </w:r>
            <w:r w:rsidRPr="00C56304">
              <w:rPr>
                <w:rFonts w:ascii="Arial" w:hAnsi="Arial" w:cs="Arial"/>
                <w:sz w:val="20"/>
                <w:szCs w:val="20"/>
              </w:rPr>
              <w:t xml:space="preserve">the term </w:t>
            </w:r>
            <w:r w:rsidRPr="00C56304">
              <w:rPr>
                <w:rFonts w:ascii="Arial" w:hAnsi="Arial" w:cs="Arial"/>
                <w:bCs/>
                <w:sz w:val="20"/>
                <w:szCs w:val="20"/>
              </w:rPr>
              <w:t>“strata title body corporate” will be replace</w:t>
            </w:r>
            <w:r w:rsidR="005A40EE">
              <w:rPr>
                <w:rFonts w:ascii="Arial" w:hAnsi="Arial" w:cs="Arial"/>
                <w:bCs/>
                <w:sz w:val="20"/>
                <w:szCs w:val="20"/>
              </w:rPr>
              <w:t>d</w:t>
            </w:r>
            <w:r w:rsidRPr="00C56304">
              <w:rPr>
                <w:rFonts w:ascii="Arial" w:hAnsi="Arial" w:cs="Arial"/>
                <w:bCs/>
                <w:sz w:val="20"/>
                <w:szCs w:val="20"/>
              </w:rPr>
              <w:t xml:space="preserve"> by “</w:t>
            </w:r>
            <w:r w:rsidRPr="00C56304">
              <w:rPr>
                <w:rFonts w:ascii="Arial" w:hAnsi="Arial" w:cs="Arial"/>
                <w:sz w:val="20"/>
                <w:szCs w:val="20"/>
              </w:rPr>
              <w:t xml:space="preserve">strata company” with </w:t>
            </w:r>
            <w:r w:rsidR="005A40EE">
              <w:rPr>
                <w:rFonts w:ascii="Arial" w:hAnsi="Arial" w:cs="Arial"/>
                <w:sz w:val="20"/>
                <w:szCs w:val="20"/>
              </w:rPr>
              <w:t xml:space="preserve">reference to the definition of </w:t>
            </w:r>
            <w:r w:rsidRPr="00C56304">
              <w:rPr>
                <w:rFonts w:ascii="Arial" w:hAnsi="Arial" w:cs="Arial"/>
                <w:sz w:val="20"/>
                <w:szCs w:val="20"/>
              </w:rPr>
              <w:t xml:space="preserve">strata company in </w:t>
            </w:r>
            <w:r w:rsidRPr="00C56304">
              <w:rPr>
                <w:rFonts w:ascii="Arial" w:hAnsi="Arial" w:cs="Arial"/>
                <w:bCs/>
                <w:sz w:val="20"/>
                <w:szCs w:val="20"/>
              </w:rPr>
              <w:t xml:space="preserve">section 3(1) of the </w:t>
            </w:r>
            <w:r w:rsidRPr="00C56304">
              <w:rPr>
                <w:rFonts w:ascii="Arial" w:hAnsi="Arial" w:cs="Arial"/>
                <w:bCs/>
                <w:i/>
                <w:sz w:val="20"/>
                <w:szCs w:val="20"/>
              </w:rPr>
              <w:t>Strata Titles Act 1985</w:t>
            </w:r>
            <w:r w:rsidRPr="00C56304">
              <w:rPr>
                <w:rFonts w:ascii="Arial" w:hAnsi="Arial" w:cs="Arial"/>
                <w:bCs/>
                <w:sz w:val="20"/>
                <w:szCs w:val="20"/>
              </w:rPr>
              <w:t xml:space="preserve">”.  </w:t>
            </w:r>
          </w:p>
        </w:tc>
        <w:tc>
          <w:tcPr>
            <w:tcW w:w="2962" w:type="dxa"/>
          </w:tcPr>
          <w:p w14:paraId="72B28A2A" w14:textId="4A4B97A9" w:rsidR="007E4463" w:rsidRPr="00C56304" w:rsidRDefault="007E4463" w:rsidP="00EF3DCC">
            <w:pPr>
              <w:pStyle w:val="NoSpacing"/>
              <w:jc w:val="left"/>
              <w:rPr>
                <w:rFonts w:eastAsia="Times New Roman" w:cs="Arial"/>
                <w:color w:val="000000"/>
                <w:sz w:val="20"/>
                <w:szCs w:val="20"/>
                <w:lang w:eastAsia="en-AU"/>
              </w:rPr>
            </w:pPr>
            <w:r w:rsidRPr="00C56304">
              <w:rPr>
                <w:rFonts w:eastAsia="Times New Roman" w:cs="Arial"/>
                <w:color w:val="000000"/>
                <w:sz w:val="20"/>
                <w:szCs w:val="20"/>
                <w:lang w:eastAsia="en-AU"/>
              </w:rPr>
              <w:t>No equivalent</w:t>
            </w:r>
            <w:r w:rsidR="005A40EE">
              <w:rPr>
                <w:rFonts w:eastAsia="Times New Roman" w:cs="Arial"/>
                <w:color w:val="000000"/>
                <w:sz w:val="20"/>
                <w:szCs w:val="20"/>
                <w:lang w:eastAsia="en-AU"/>
              </w:rPr>
              <w:t>.</w:t>
            </w:r>
          </w:p>
        </w:tc>
      </w:tr>
      <w:tr w:rsidR="007E4463" w:rsidRPr="00233EF7" w14:paraId="72B28A2D" w14:textId="77777777" w:rsidTr="00EF3DCC">
        <w:trPr>
          <w:trHeight w:val="494"/>
          <w:tblHeader/>
        </w:trPr>
        <w:tc>
          <w:tcPr>
            <w:tcW w:w="9289" w:type="dxa"/>
            <w:gridSpan w:val="3"/>
            <w:shd w:val="clear" w:color="auto" w:fill="006B6E"/>
            <w:vAlign w:val="center"/>
          </w:tcPr>
          <w:p w14:paraId="72B28A2C" w14:textId="77777777" w:rsidR="007E4463" w:rsidRPr="00233EF7" w:rsidRDefault="007E4463" w:rsidP="00EF3DCC">
            <w:pPr>
              <w:pStyle w:val="Heading1"/>
              <w:spacing w:before="100" w:beforeAutospacing="1" w:after="100" w:afterAutospacing="1"/>
              <w:outlineLvl w:val="0"/>
              <w:rPr>
                <w:color w:val="FFFFFF" w:themeColor="background1"/>
                <w:sz w:val="20"/>
                <w:szCs w:val="20"/>
              </w:rPr>
            </w:pPr>
            <w:bookmarkStart w:id="54" w:name="_Toc451257394"/>
            <w:bookmarkStart w:id="55" w:name="_Toc451422115"/>
            <w:bookmarkStart w:id="56" w:name="_Toc451437328"/>
            <w:bookmarkStart w:id="57" w:name="_Toc4661838"/>
            <w:bookmarkStart w:id="58" w:name="_Toc17104614"/>
            <w:r w:rsidRPr="00233EF7">
              <w:rPr>
                <w:color w:val="FFFFFF" w:themeColor="background1"/>
                <w:sz w:val="20"/>
                <w:szCs w:val="20"/>
              </w:rPr>
              <w:t>Chapter Two – Representation and Participation</w:t>
            </w:r>
            <w:bookmarkEnd w:id="54"/>
            <w:bookmarkEnd w:id="55"/>
            <w:bookmarkEnd w:id="56"/>
            <w:bookmarkEnd w:id="57"/>
            <w:bookmarkEnd w:id="58"/>
          </w:p>
        </w:tc>
      </w:tr>
      <w:tr w:rsidR="007E4463" w:rsidRPr="00C56304" w14:paraId="72B28A32" w14:textId="77777777" w:rsidTr="00EF3DCC">
        <w:trPr>
          <w:tblHeader/>
        </w:trPr>
        <w:tc>
          <w:tcPr>
            <w:tcW w:w="2962" w:type="dxa"/>
          </w:tcPr>
          <w:p w14:paraId="72B28A2E" w14:textId="77777777" w:rsidR="007E4463" w:rsidRPr="00C56304" w:rsidRDefault="007E4463" w:rsidP="00EF3DCC">
            <w:pPr>
              <w:pStyle w:val="Heading2"/>
              <w:numPr>
                <w:ilvl w:val="0"/>
                <w:numId w:val="37"/>
              </w:numPr>
              <w:ind w:left="455"/>
              <w:outlineLvl w:val="1"/>
              <w:rPr>
                <w:sz w:val="20"/>
                <w:szCs w:val="20"/>
              </w:rPr>
            </w:pPr>
            <w:bookmarkStart w:id="59" w:name="_Toc4661839"/>
            <w:bookmarkStart w:id="60" w:name="_Toc17104615"/>
            <w:r w:rsidRPr="00C56304">
              <w:rPr>
                <w:sz w:val="20"/>
                <w:szCs w:val="20"/>
              </w:rPr>
              <w:t>Work Groups</w:t>
            </w:r>
            <w:bookmarkEnd w:id="59"/>
            <w:bookmarkEnd w:id="60"/>
          </w:p>
          <w:p w14:paraId="72B28A2F" w14:textId="77777777" w:rsidR="007E4463" w:rsidRPr="00C56304" w:rsidRDefault="007E4463" w:rsidP="00EF3DCC">
            <w:pPr>
              <w:pStyle w:val="Heading1"/>
              <w:outlineLvl w:val="0"/>
              <w:rPr>
                <w:sz w:val="20"/>
                <w:szCs w:val="20"/>
              </w:rPr>
            </w:pPr>
          </w:p>
        </w:tc>
        <w:tc>
          <w:tcPr>
            <w:tcW w:w="3365" w:type="dxa"/>
          </w:tcPr>
          <w:p w14:paraId="72B28A30" w14:textId="1E5CEDEF" w:rsidR="007E4463" w:rsidRPr="00C56304" w:rsidRDefault="005A40EE" w:rsidP="00EF3DCC">
            <w:pPr>
              <w:spacing w:before="120" w:after="120"/>
              <w:rPr>
                <w:rFonts w:ascii="Arial" w:hAnsi="Arial" w:cs="Arial"/>
                <w:bCs/>
                <w:sz w:val="20"/>
                <w:szCs w:val="20"/>
              </w:rPr>
            </w:pPr>
            <w:r>
              <w:rPr>
                <w:rFonts w:ascii="Arial" w:hAnsi="Arial" w:cs="Arial"/>
                <w:sz w:val="20"/>
                <w:szCs w:val="20"/>
              </w:rPr>
              <w:t xml:space="preserve">Regulation 17 prescribes </w:t>
            </w:r>
            <w:r w:rsidR="007E4463" w:rsidRPr="00C56304">
              <w:rPr>
                <w:rFonts w:ascii="Arial" w:hAnsi="Arial" w:cs="Arial"/>
                <w:sz w:val="20"/>
                <w:szCs w:val="20"/>
              </w:rPr>
              <w:t>an extensive list of matters to be taken into account in negotiating for work groups</w:t>
            </w:r>
            <w:r>
              <w:rPr>
                <w:rFonts w:ascii="Arial" w:hAnsi="Arial" w:cs="Arial"/>
                <w:sz w:val="20"/>
                <w:szCs w:val="20"/>
              </w:rPr>
              <w:t>.</w:t>
            </w:r>
            <w:r w:rsidR="007E4463" w:rsidRPr="00C56304">
              <w:rPr>
                <w:rFonts w:ascii="Arial" w:hAnsi="Arial" w:cs="Arial"/>
                <w:sz w:val="20"/>
                <w:szCs w:val="20"/>
              </w:rPr>
              <w:t xml:space="preserve"> </w:t>
            </w:r>
          </w:p>
        </w:tc>
        <w:tc>
          <w:tcPr>
            <w:tcW w:w="2962" w:type="dxa"/>
          </w:tcPr>
          <w:p w14:paraId="72B28A31" w14:textId="1061C146" w:rsidR="007E4463" w:rsidRPr="00C56304" w:rsidRDefault="007E4463" w:rsidP="00EF3DCC">
            <w:pPr>
              <w:pStyle w:val="NoSpacing"/>
              <w:jc w:val="left"/>
              <w:rPr>
                <w:rFonts w:eastAsia="Times New Roman" w:cs="Arial"/>
                <w:color w:val="000000"/>
                <w:sz w:val="20"/>
                <w:szCs w:val="20"/>
                <w:lang w:eastAsia="en-AU"/>
              </w:rPr>
            </w:pPr>
            <w:r w:rsidRPr="00C56304">
              <w:rPr>
                <w:rFonts w:cs="Arial"/>
                <w:sz w:val="20"/>
                <w:szCs w:val="20"/>
              </w:rPr>
              <w:t>The list of matters provided under s. 30(4) of t</w:t>
            </w:r>
            <w:r w:rsidR="00AF2EBC">
              <w:rPr>
                <w:rFonts w:cs="Arial"/>
                <w:sz w:val="20"/>
                <w:szCs w:val="20"/>
              </w:rPr>
              <w:t>he OSH Act is not as large.</w:t>
            </w:r>
          </w:p>
        </w:tc>
      </w:tr>
      <w:tr w:rsidR="007E4463" w:rsidRPr="00C56304" w14:paraId="72B28A37" w14:textId="77777777" w:rsidTr="00EF3DCC">
        <w:trPr>
          <w:tblHeader/>
        </w:trPr>
        <w:tc>
          <w:tcPr>
            <w:tcW w:w="2962" w:type="dxa"/>
          </w:tcPr>
          <w:p w14:paraId="72B28A33" w14:textId="77777777" w:rsidR="007E4463" w:rsidRPr="00C56304" w:rsidRDefault="007E4463" w:rsidP="00EF3DCC">
            <w:pPr>
              <w:pStyle w:val="Heading2"/>
              <w:numPr>
                <w:ilvl w:val="0"/>
                <w:numId w:val="37"/>
              </w:numPr>
              <w:ind w:left="455"/>
              <w:outlineLvl w:val="1"/>
              <w:rPr>
                <w:sz w:val="20"/>
                <w:szCs w:val="20"/>
              </w:rPr>
            </w:pPr>
            <w:bookmarkStart w:id="61" w:name="_Toc4661840"/>
            <w:bookmarkStart w:id="62" w:name="_Toc17104616"/>
            <w:r w:rsidRPr="00C56304">
              <w:rPr>
                <w:sz w:val="20"/>
                <w:szCs w:val="20"/>
              </w:rPr>
              <w:lastRenderedPageBreak/>
              <w:t>Health and Safety Representatives</w:t>
            </w:r>
            <w:bookmarkEnd w:id="61"/>
            <w:bookmarkEnd w:id="62"/>
          </w:p>
          <w:p w14:paraId="72B28A34" w14:textId="77777777" w:rsidR="007E4463" w:rsidRPr="00C56304" w:rsidRDefault="007E4463" w:rsidP="00EF3DCC">
            <w:pPr>
              <w:pStyle w:val="Heading2"/>
              <w:ind w:left="455"/>
              <w:outlineLvl w:val="1"/>
              <w:rPr>
                <w:sz w:val="20"/>
                <w:szCs w:val="20"/>
              </w:rPr>
            </w:pPr>
          </w:p>
        </w:tc>
        <w:tc>
          <w:tcPr>
            <w:tcW w:w="3365" w:type="dxa"/>
          </w:tcPr>
          <w:p w14:paraId="72B28A35" w14:textId="12916BA3" w:rsidR="007E4463" w:rsidRPr="00C56304" w:rsidRDefault="007E4463" w:rsidP="00EF3DCC">
            <w:pPr>
              <w:spacing w:before="120" w:after="120"/>
              <w:rPr>
                <w:rFonts w:ascii="Arial" w:hAnsi="Arial" w:cs="Arial"/>
                <w:sz w:val="20"/>
                <w:szCs w:val="20"/>
              </w:rPr>
            </w:pPr>
            <w:r w:rsidRPr="00C56304">
              <w:rPr>
                <w:rFonts w:ascii="Arial" w:hAnsi="Arial" w:cs="Arial"/>
                <w:sz w:val="20"/>
                <w:szCs w:val="20"/>
              </w:rPr>
              <w:t xml:space="preserve">R. 18 provides details in relation to the procedures for the election of </w:t>
            </w:r>
            <w:r w:rsidR="005A40EE">
              <w:rPr>
                <w:rFonts w:ascii="Arial" w:hAnsi="Arial" w:cs="Arial"/>
                <w:sz w:val="20"/>
                <w:szCs w:val="20"/>
              </w:rPr>
              <w:t xml:space="preserve">a </w:t>
            </w:r>
            <w:r w:rsidRPr="00C56304">
              <w:rPr>
                <w:rFonts w:ascii="Arial" w:hAnsi="Arial" w:cs="Arial"/>
                <w:sz w:val="20"/>
                <w:szCs w:val="20"/>
              </w:rPr>
              <w:t>health and safety representative</w:t>
            </w:r>
            <w:r w:rsidR="005A40EE">
              <w:rPr>
                <w:rFonts w:ascii="Arial" w:hAnsi="Arial" w:cs="Arial"/>
                <w:sz w:val="20"/>
                <w:szCs w:val="20"/>
              </w:rPr>
              <w:t>.</w:t>
            </w:r>
            <w:r w:rsidRPr="00C56304">
              <w:rPr>
                <w:rFonts w:ascii="Arial" w:hAnsi="Arial" w:cs="Arial"/>
                <w:sz w:val="20"/>
                <w:szCs w:val="20"/>
              </w:rPr>
              <w:t xml:space="preserve"> </w:t>
            </w:r>
          </w:p>
        </w:tc>
        <w:tc>
          <w:tcPr>
            <w:tcW w:w="2962" w:type="dxa"/>
          </w:tcPr>
          <w:p w14:paraId="72B28A36" w14:textId="77777777" w:rsidR="007E4463" w:rsidRPr="00C56304" w:rsidRDefault="007E4463" w:rsidP="00EF3DCC">
            <w:pPr>
              <w:pStyle w:val="NoSpacing"/>
              <w:jc w:val="left"/>
              <w:rPr>
                <w:rFonts w:eastAsia="Times New Roman" w:cs="Arial"/>
                <w:color w:val="000000"/>
                <w:sz w:val="20"/>
                <w:szCs w:val="20"/>
                <w:lang w:eastAsia="en-AU"/>
              </w:rPr>
            </w:pPr>
            <w:r w:rsidRPr="00C56304">
              <w:rPr>
                <w:rFonts w:cs="Arial"/>
                <w:sz w:val="20"/>
                <w:szCs w:val="20"/>
              </w:rPr>
              <w:t xml:space="preserve">The OSH Act (sections 31(6) to (11)) and the Mines Safety and Inspection Act (s. 56) provide comparatively more details.  </w:t>
            </w:r>
          </w:p>
        </w:tc>
      </w:tr>
      <w:tr w:rsidR="007E4463" w:rsidRPr="00C56304" w14:paraId="72B28A3D" w14:textId="77777777" w:rsidTr="00EF3DCC">
        <w:trPr>
          <w:tblHeader/>
        </w:trPr>
        <w:tc>
          <w:tcPr>
            <w:tcW w:w="2962" w:type="dxa"/>
          </w:tcPr>
          <w:p w14:paraId="72B28A38" w14:textId="77777777" w:rsidR="007E4463" w:rsidRPr="00C56304" w:rsidRDefault="007E4463" w:rsidP="00EF3DCC">
            <w:pPr>
              <w:pStyle w:val="Heading1"/>
              <w:numPr>
                <w:ilvl w:val="0"/>
                <w:numId w:val="37"/>
              </w:numPr>
              <w:ind w:left="455"/>
              <w:outlineLvl w:val="0"/>
              <w:rPr>
                <w:sz w:val="20"/>
                <w:szCs w:val="20"/>
              </w:rPr>
            </w:pPr>
            <w:bookmarkStart w:id="63" w:name="_Toc451257365"/>
            <w:bookmarkStart w:id="64" w:name="_Toc451422084"/>
            <w:bookmarkStart w:id="65" w:name="_Toc451437297"/>
            <w:bookmarkStart w:id="66" w:name="_Toc4661841"/>
            <w:bookmarkStart w:id="67" w:name="_Toc17104617"/>
            <w:r w:rsidRPr="00C56304">
              <w:rPr>
                <w:sz w:val="20"/>
                <w:szCs w:val="20"/>
              </w:rPr>
              <w:t>Health and Safety Representative training</w:t>
            </w:r>
            <w:bookmarkEnd w:id="63"/>
            <w:bookmarkEnd w:id="64"/>
            <w:bookmarkEnd w:id="65"/>
            <w:bookmarkEnd w:id="66"/>
            <w:bookmarkEnd w:id="67"/>
          </w:p>
          <w:p w14:paraId="72B28A39" w14:textId="77777777" w:rsidR="007E4463" w:rsidRPr="00C56304" w:rsidRDefault="007E4463" w:rsidP="00EF3DCC">
            <w:pPr>
              <w:pStyle w:val="Heading2"/>
              <w:ind w:left="455"/>
              <w:outlineLvl w:val="1"/>
              <w:rPr>
                <w:sz w:val="20"/>
                <w:szCs w:val="20"/>
                <w:lang w:eastAsia="en-AU"/>
              </w:rPr>
            </w:pPr>
          </w:p>
        </w:tc>
        <w:tc>
          <w:tcPr>
            <w:tcW w:w="3365" w:type="dxa"/>
          </w:tcPr>
          <w:p w14:paraId="72B28A3A" w14:textId="4420ED3C" w:rsidR="007E4463" w:rsidRPr="00C56304" w:rsidRDefault="007E4463" w:rsidP="00EF3DCC">
            <w:pPr>
              <w:pStyle w:val="NoSpacing"/>
              <w:jc w:val="left"/>
              <w:rPr>
                <w:sz w:val="20"/>
                <w:szCs w:val="20"/>
              </w:rPr>
            </w:pPr>
            <w:r w:rsidRPr="00C56304">
              <w:rPr>
                <w:sz w:val="20"/>
                <w:szCs w:val="20"/>
              </w:rPr>
              <w:t xml:space="preserve">R. 21(1)(b) prescribes an entitlement to an annual one day refresher training course for Health and Safety representatives.  </w:t>
            </w:r>
          </w:p>
          <w:p w14:paraId="72B28A3B" w14:textId="77777777" w:rsidR="007E4463" w:rsidRPr="00C56304" w:rsidRDefault="007E4463" w:rsidP="00EF3DCC">
            <w:pPr>
              <w:pStyle w:val="NoSpacing"/>
              <w:jc w:val="left"/>
              <w:rPr>
                <w:rFonts w:cs="Arial"/>
                <w:sz w:val="20"/>
                <w:szCs w:val="20"/>
                <w:lang w:eastAsia="en-AU"/>
              </w:rPr>
            </w:pPr>
          </w:p>
        </w:tc>
        <w:tc>
          <w:tcPr>
            <w:tcW w:w="2962" w:type="dxa"/>
          </w:tcPr>
          <w:p w14:paraId="72B28A3C" w14:textId="13568C60" w:rsidR="007E4463" w:rsidRPr="00C56304" w:rsidRDefault="007E4463" w:rsidP="005A40EE">
            <w:pPr>
              <w:pStyle w:val="NoSpacing"/>
              <w:jc w:val="left"/>
              <w:rPr>
                <w:rFonts w:cs="Arial"/>
                <w:sz w:val="20"/>
                <w:szCs w:val="20"/>
                <w:lang w:eastAsia="en-AU"/>
              </w:rPr>
            </w:pPr>
            <w:r w:rsidRPr="00C56304">
              <w:rPr>
                <w:rFonts w:cs="Arial"/>
                <w:sz w:val="20"/>
                <w:szCs w:val="20"/>
                <w:lang w:eastAsia="en-AU"/>
              </w:rPr>
              <w:t xml:space="preserve">R. 2.3 provides for the Commission for Occupational Safety and Health (Commission) </w:t>
            </w:r>
            <w:r w:rsidR="00872DFB" w:rsidRPr="00C56304">
              <w:rPr>
                <w:rFonts w:cs="Arial"/>
                <w:sz w:val="20"/>
                <w:szCs w:val="20"/>
                <w:lang w:eastAsia="en-AU"/>
              </w:rPr>
              <w:t>accrediting a</w:t>
            </w:r>
            <w:r w:rsidRPr="00C56304">
              <w:rPr>
                <w:rFonts w:cs="Arial"/>
                <w:sz w:val="20"/>
                <w:szCs w:val="20"/>
                <w:lang w:eastAsia="en-AU"/>
              </w:rPr>
              <w:t xml:space="preserve"> training course suitable for attendance by Health </w:t>
            </w:r>
            <w:r w:rsidR="005A40EE">
              <w:rPr>
                <w:rFonts w:cs="Arial"/>
                <w:sz w:val="20"/>
                <w:szCs w:val="20"/>
                <w:lang w:eastAsia="en-AU"/>
              </w:rPr>
              <w:t xml:space="preserve">and Safety </w:t>
            </w:r>
            <w:r w:rsidRPr="00C56304">
              <w:rPr>
                <w:rFonts w:cs="Arial"/>
                <w:sz w:val="20"/>
                <w:szCs w:val="20"/>
                <w:lang w:eastAsia="en-AU"/>
              </w:rPr>
              <w:t xml:space="preserve">Representatives during their term of holding office.  At this time the Commission has not accredited a course.    </w:t>
            </w:r>
          </w:p>
        </w:tc>
      </w:tr>
      <w:tr w:rsidR="007E4463" w:rsidRPr="00C56304" w14:paraId="72B28A45" w14:textId="77777777" w:rsidTr="00EF3DCC">
        <w:trPr>
          <w:tblHeader/>
        </w:trPr>
        <w:tc>
          <w:tcPr>
            <w:tcW w:w="2962" w:type="dxa"/>
          </w:tcPr>
          <w:p w14:paraId="72B28A3E" w14:textId="77777777" w:rsidR="007E4463" w:rsidRPr="00C56304" w:rsidRDefault="007E4463" w:rsidP="00EF3DCC">
            <w:pPr>
              <w:pStyle w:val="Heading2"/>
              <w:numPr>
                <w:ilvl w:val="0"/>
                <w:numId w:val="37"/>
              </w:numPr>
              <w:ind w:left="455"/>
              <w:outlineLvl w:val="1"/>
              <w:rPr>
                <w:sz w:val="20"/>
                <w:szCs w:val="20"/>
                <w:lang w:eastAsia="en-AU"/>
              </w:rPr>
            </w:pPr>
            <w:bookmarkStart w:id="68" w:name="_Toc451257385"/>
            <w:bookmarkStart w:id="69" w:name="_Toc451422106"/>
            <w:bookmarkStart w:id="70" w:name="_Toc451437319"/>
            <w:bookmarkStart w:id="71" w:name="_Toc4661842"/>
            <w:bookmarkStart w:id="72" w:name="_Toc17104618"/>
            <w:r w:rsidRPr="00C56304">
              <w:rPr>
                <w:sz w:val="20"/>
                <w:szCs w:val="20"/>
                <w:lang w:eastAsia="en-AU"/>
              </w:rPr>
              <w:t>Review of control measures and asbestos management control plan</w:t>
            </w:r>
            <w:bookmarkEnd w:id="68"/>
            <w:bookmarkEnd w:id="69"/>
            <w:bookmarkEnd w:id="70"/>
            <w:bookmarkEnd w:id="71"/>
            <w:bookmarkEnd w:id="72"/>
          </w:p>
          <w:p w14:paraId="72B28A3F" w14:textId="77777777" w:rsidR="007E4463" w:rsidRPr="00C56304" w:rsidRDefault="007E4463" w:rsidP="00EF3DCC">
            <w:pPr>
              <w:pStyle w:val="Heading2"/>
              <w:ind w:left="455"/>
              <w:outlineLvl w:val="1"/>
              <w:rPr>
                <w:sz w:val="20"/>
                <w:szCs w:val="20"/>
              </w:rPr>
            </w:pPr>
          </w:p>
        </w:tc>
        <w:tc>
          <w:tcPr>
            <w:tcW w:w="3365" w:type="dxa"/>
          </w:tcPr>
          <w:p w14:paraId="72B28A40" w14:textId="77777777" w:rsidR="007E4463" w:rsidRPr="00C56304" w:rsidRDefault="007E4463" w:rsidP="00EF3DCC">
            <w:pPr>
              <w:pStyle w:val="NoSpacing"/>
              <w:jc w:val="left"/>
              <w:rPr>
                <w:rFonts w:cs="Arial"/>
                <w:color w:val="000000"/>
                <w:sz w:val="20"/>
                <w:szCs w:val="20"/>
                <w:lang w:eastAsia="en-AU"/>
              </w:rPr>
            </w:pPr>
            <w:r w:rsidRPr="00C56304">
              <w:rPr>
                <w:rFonts w:cs="Arial"/>
                <w:sz w:val="20"/>
                <w:szCs w:val="20"/>
                <w:lang w:eastAsia="en-AU"/>
              </w:rPr>
              <w:t xml:space="preserve">Regulations </w:t>
            </w:r>
            <w:r w:rsidRPr="00C56304">
              <w:rPr>
                <w:rFonts w:eastAsia="Times New Roman" w:cs="Arial"/>
                <w:color w:val="000000"/>
                <w:sz w:val="20"/>
                <w:szCs w:val="20"/>
                <w:lang w:eastAsia="en-AU"/>
              </w:rPr>
              <w:t xml:space="preserve">38(2)(e); 38(4); 401(1)(g); 401(3)) </w:t>
            </w:r>
            <w:r w:rsidRPr="00C56304">
              <w:rPr>
                <w:rFonts w:cs="Arial"/>
                <w:sz w:val="20"/>
                <w:szCs w:val="20"/>
                <w:lang w:eastAsia="en-AU"/>
              </w:rPr>
              <w:t xml:space="preserve">require </w:t>
            </w:r>
            <w:r w:rsidRPr="00C56304">
              <w:rPr>
                <w:rFonts w:cs="Arial"/>
                <w:color w:val="000000"/>
                <w:sz w:val="20"/>
                <w:szCs w:val="20"/>
                <w:lang w:eastAsia="en-AU"/>
              </w:rPr>
              <w:t>control measures to be reviewed when specified conditions are met.  One of the conditions specified is that a review must occur at the request of an HSR</w:t>
            </w:r>
            <w:r w:rsidRPr="00C56304">
              <w:rPr>
                <w:rFonts w:cs="Arial"/>
                <w:color w:val="FF0000"/>
                <w:sz w:val="20"/>
                <w:szCs w:val="20"/>
                <w:lang w:eastAsia="en-AU"/>
              </w:rPr>
              <w:t xml:space="preserve"> </w:t>
            </w:r>
            <w:r w:rsidRPr="00C56304">
              <w:rPr>
                <w:rFonts w:cs="Arial"/>
                <w:color w:val="000000"/>
                <w:sz w:val="20"/>
                <w:szCs w:val="20"/>
                <w:lang w:eastAsia="en-AU"/>
              </w:rPr>
              <w:t>under the following circumstances:</w:t>
            </w:r>
          </w:p>
          <w:p w14:paraId="72B28A41" w14:textId="77777777" w:rsidR="007E4463" w:rsidRPr="00C56304" w:rsidRDefault="007E4463" w:rsidP="00EF3DCC">
            <w:pPr>
              <w:pStyle w:val="NoSpacing"/>
              <w:numPr>
                <w:ilvl w:val="0"/>
                <w:numId w:val="9"/>
              </w:numPr>
              <w:ind w:left="334"/>
              <w:jc w:val="left"/>
              <w:rPr>
                <w:rFonts w:cs="Arial"/>
                <w:color w:val="000000"/>
                <w:sz w:val="20"/>
                <w:szCs w:val="20"/>
                <w:lang w:eastAsia="en-AU"/>
              </w:rPr>
            </w:pPr>
            <w:r w:rsidRPr="00C56304">
              <w:rPr>
                <w:rFonts w:cs="Arial"/>
                <w:color w:val="000000"/>
                <w:sz w:val="20"/>
                <w:szCs w:val="20"/>
                <w:lang w:eastAsia="en-AU"/>
              </w:rPr>
              <w:t>wherever a provision requires risk assessment in accordance with Part 3.1; and</w:t>
            </w:r>
          </w:p>
          <w:p w14:paraId="72B28A42" w14:textId="77777777" w:rsidR="007E4463" w:rsidRPr="00C56304" w:rsidRDefault="007E4463" w:rsidP="00EF3DCC">
            <w:pPr>
              <w:pStyle w:val="NoSpacing"/>
              <w:numPr>
                <w:ilvl w:val="0"/>
                <w:numId w:val="9"/>
              </w:numPr>
              <w:ind w:left="334"/>
              <w:jc w:val="left"/>
              <w:rPr>
                <w:rFonts w:cs="Arial"/>
                <w:color w:val="000000"/>
                <w:sz w:val="20"/>
                <w:szCs w:val="20"/>
                <w:lang w:eastAsia="en-AU"/>
              </w:rPr>
            </w:pPr>
            <w:r w:rsidRPr="00C56304">
              <w:rPr>
                <w:rFonts w:cs="Arial"/>
                <w:color w:val="000000"/>
                <w:sz w:val="20"/>
                <w:szCs w:val="20"/>
                <w:lang w:eastAsia="en-AU"/>
              </w:rPr>
              <w:t>in relation to working with lead.</w:t>
            </w:r>
          </w:p>
          <w:p w14:paraId="72B28A43" w14:textId="77777777" w:rsidR="007E4463" w:rsidRPr="00C56304" w:rsidRDefault="007E4463" w:rsidP="00EF3DCC">
            <w:pPr>
              <w:pStyle w:val="NoSpacing"/>
              <w:jc w:val="left"/>
              <w:rPr>
                <w:rFonts w:cs="Arial"/>
                <w:sz w:val="20"/>
                <w:szCs w:val="20"/>
              </w:rPr>
            </w:pPr>
            <w:r w:rsidRPr="00C56304">
              <w:rPr>
                <w:rFonts w:cs="Arial"/>
                <w:sz w:val="20"/>
                <w:szCs w:val="20"/>
                <w:lang w:eastAsia="en-AU"/>
              </w:rPr>
              <w:t>HSRs may also request a review of an asbestos management control plan under the model WHS regulations (</w:t>
            </w:r>
            <w:r w:rsidRPr="00C56304">
              <w:rPr>
                <w:rFonts w:eastAsia="Times New Roman" w:cs="Arial"/>
                <w:color w:val="000000"/>
                <w:sz w:val="20"/>
                <w:szCs w:val="20"/>
                <w:lang w:eastAsia="en-AU"/>
              </w:rPr>
              <w:t>430(1)(d); 430(2))</w:t>
            </w:r>
            <w:r w:rsidRPr="00C56304">
              <w:rPr>
                <w:rFonts w:cs="Arial"/>
                <w:sz w:val="20"/>
                <w:szCs w:val="20"/>
                <w:lang w:eastAsia="en-AU"/>
              </w:rPr>
              <w:t>.</w:t>
            </w:r>
          </w:p>
        </w:tc>
        <w:tc>
          <w:tcPr>
            <w:tcW w:w="2962" w:type="dxa"/>
          </w:tcPr>
          <w:p w14:paraId="72B28A44" w14:textId="77777777" w:rsidR="007E4463" w:rsidRPr="00C56304" w:rsidRDefault="007E4463" w:rsidP="00EF3DCC">
            <w:pPr>
              <w:pStyle w:val="NoSpacing"/>
              <w:jc w:val="left"/>
              <w:rPr>
                <w:rFonts w:cs="Arial"/>
                <w:sz w:val="20"/>
                <w:szCs w:val="20"/>
              </w:rPr>
            </w:pPr>
            <w:r w:rsidRPr="00C56304">
              <w:rPr>
                <w:rFonts w:cs="Arial"/>
                <w:sz w:val="20"/>
                <w:szCs w:val="20"/>
                <w:lang w:eastAsia="en-AU"/>
              </w:rPr>
              <w:t xml:space="preserve">No equivalent authority for an HSR to trigger a review of control measures is prescribed.  </w:t>
            </w:r>
          </w:p>
        </w:tc>
      </w:tr>
      <w:tr w:rsidR="007E4463" w:rsidRPr="00C56304" w14:paraId="72B28A4A" w14:textId="77777777" w:rsidTr="00EF3DCC">
        <w:trPr>
          <w:tblHeader/>
        </w:trPr>
        <w:tc>
          <w:tcPr>
            <w:tcW w:w="2962" w:type="dxa"/>
          </w:tcPr>
          <w:p w14:paraId="72B28A46" w14:textId="71EEFC44" w:rsidR="007E4463" w:rsidRPr="00C56304" w:rsidRDefault="005A40EE" w:rsidP="00EF3DCC">
            <w:pPr>
              <w:pStyle w:val="Heading2"/>
              <w:numPr>
                <w:ilvl w:val="0"/>
                <w:numId w:val="37"/>
              </w:numPr>
              <w:ind w:left="455"/>
              <w:outlineLvl w:val="1"/>
              <w:rPr>
                <w:sz w:val="20"/>
                <w:szCs w:val="20"/>
              </w:rPr>
            </w:pPr>
            <w:bookmarkStart w:id="73" w:name="_Toc4661843"/>
            <w:bookmarkStart w:id="74" w:name="_Toc17104619"/>
            <w:r>
              <w:rPr>
                <w:sz w:val="20"/>
                <w:szCs w:val="20"/>
              </w:rPr>
              <w:t>Personal p</w:t>
            </w:r>
            <w:r w:rsidR="007E4463" w:rsidRPr="00C56304">
              <w:rPr>
                <w:sz w:val="20"/>
                <w:szCs w:val="20"/>
              </w:rPr>
              <w:t>rotective clothing and equipment (PPE)</w:t>
            </w:r>
            <w:bookmarkEnd w:id="73"/>
            <w:bookmarkEnd w:id="74"/>
          </w:p>
          <w:p w14:paraId="72B28A47" w14:textId="77777777" w:rsidR="007E4463" w:rsidRPr="00C56304" w:rsidRDefault="007E4463" w:rsidP="00EF3DCC">
            <w:pPr>
              <w:pStyle w:val="Heading2"/>
              <w:ind w:left="455"/>
              <w:outlineLvl w:val="1"/>
              <w:rPr>
                <w:sz w:val="20"/>
                <w:szCs w:val="20"/>
              </w:rPr>
            </w:pPr>
          </w:p>
        </w:tc>
        <w:tc>
          <w:tcPr>
            <w:tcW w:w="3365" w:type="dxa"/>
          </w:tcPr>
          <w:p w14:paraId="72B28A48" w14:textId="77777777" w:rsidR="007E4463" w:rsidRPr="00C56304" w:rsidRDefault="007E4463" w:rsidP="00EF3DCC">
            <w:pPr>
              <w:spacing w:before="120" w:after="120"/>
              <w:rPr>
                <w:rFonts w:ascii="Arial" w:hAnsi="Arial" w:cs="Arial"/>
                <w:sz w:val="20"/>
                <w:szCs w:val="20"/>
              </w:rPr>
            </w:pPr>
            <w:r w:rsidRPr="00C56304">
              <w:rPr>
                <w:rFonts w:ascii="Arial" w:hAnsi="Arial" w:cs="Arial"/>
                <w:sz w:val="20"/>
                <w:szCs w:val="20"/>
              </w:rPr>
              <w:t>R. 44 requires the person conducting a business or undertaking to provide PPE to workers.</w:t>
            </w:r>
          </w:p>
        </w:tc>
        <w:tc>
          <w:tcPr>
            <w:tcW w:w="2962" w:type="dxa"/>
          </w:tcPr>
          <w:p w14:paraId="72B28A49" w14:textId="4B4925BA" w:rsidR="007E4463" w:rsidRPr="00C56304" w:rsidRDefault="007E4463" w:rsidP="00EF3DCC">
            <w:pPr>
              <w:pStyle w:val="NoSpacing"/>
              <w:jc w:val="left"/>
              <w:rPr>
                <w:rFonts w:eastAsia="Times New Roman" w:cs="Arial"/>
                <w:color w:val="000000"/>
                <w:sz w:val="20"/>
                <w:szCs w:val="20"/>
                <w:lang w:eastAsia="en-AU"/>
              </w:rPr>
            </w:pPr>
            <w:r w:rsidRPr="00C56304">
              <w:rPr>
                <w:rFonts w:cs="Arial"/>
                <w:sz w:val="20"/>
                <w:szCs w:val="20"/>
              </w:rPr>
              <w:t>R. 3.33 requires that the PPE is in accordance, and complies, with the relevant requirements of prescribed Australian and New Zealand Standards</w:t>
            </w:r>
            <w:r w:rsidR="005A40EE">
              <w:rPr>
                <w:rFonts w:cs="Arial"/>
                <w:sz w:val="20"/>
                <w:szCs w:val="20"/>
              </w:rPr>
              <w:t>.</w:t>
            </w:r>
          </w:p>
        </w:tc>
      </w:tr>
      <w:tr w:rsidR="007E4463" w:rsidRPr="00233EF7" w14:paraId="72B28A4C" w14:textId="77777777" w:rsidTr="00EF3DCC">
        <w:trPr>
          <w:trHeight w:val="406"/>
          <w:tblHeader/>
        </w:trPr>
        <w:tc>
          <w:tcPr>
            <w:tcW w:w="9289" w:type="dxa"/>
            <w:gridSpan w:val="3"/>
            <w:shd w:val="clear" w:color="auto" w:fill="006B6E"/>
            <w:vAlign w:val="center"/>
          </w:tcPr>
          <w:p w14:paraId="72B28A4B" w14:textId="77777777" w:rsidR="007E4463" w:rsidRPr="00233EF7" w:rsidRDefault="007E4463" w:rsidP="00EF3DCC">
            <w:pPr>
              <w:pStyle w:val="Heading1"/>
              <w:spacing w:before="100" w:beforeAutospacing="1" w:after="100" w:afterAutospacing="1"/>
              <w:outlineLvl w:val="0"/>
              <w:rPr>
                <w:color w:val="FFFFFF" w:themeColor="background1"/>
                <w:sz w:val="20"/>
                <w:szCs w:val="20"/>
              </w:rPr>
            </w:pPr>
            <w:bookmarkStart w:id="75" w:name="_Toc451257397"/>
            <w:bookmarkStart w:id="76" w:name="_Toc451422118"/>
            <w:bookmarkStart w:id="77" w:name="_Toc451437331"/>
            <w:bookmarkStart w:id="78" w:name="_Toc4661844"/>
            <w:bookmarkStart w:id="79" w:name="_Toc17104620"/>
            <w:r w:rsidRPr="00233EF7">
              <w:rPr>
                <w:color w:val="FFFFFF" w:themeColor="background1"/>
                <w:sz w:val="20"/>
                <w:szCs w:val="20"/>
              </w:rPr>
              <w:t>Chapter Three – General Risk and Workplace Management</w:t>
            </w:r>
            <w:bookmarkEnd w:id="75"/>
            <w:bookmarkEnd w:id="76"/>
            <w:bookmarkEnd w:id="77"/>
            <w:bookmarkEnd w:id="78"/>
            <w:bookmarkEnd w:id="79"/>
          </w:p>
        </w:tc>
      </w:tr>
      <w:tr w:rsidR="007E4463" w:rsidRPr="00C56304" w14:paraId="72B28A51" w14:textId="77777777" w:rsidTr="00EF3DCC">
        <w:trPr>
          <w:tblHeader/>
        </w:trPr>
        <w:tc>
          <w:tcPr>
            <w:tcW w:w="2962" w:type="dxa"/>
          </w:tcPr>
          <w:p w14:paraId="72B28A4D" w14:textId="77777777" w:rsidR="007E4463" w:rsidRPr="00C56304" w:rsidRDefault="007E4463" w:rsidP="00EF3DCC">
            <w:pPr>
              <w:pStyle w:val="Heading2"/>
              <w:numPr>
                <w:ilvl w:val="0"/>
                <w:numId w:val="37"/>
              </w:numPr>
              <w:ind w:left="455"/>
              <w:outlineLvl w:val="1"/>
              <w:rPr>
                <w:rFonts w:eastAsia="Times New Roman"/>
                <w:color w:val="000000"/>
                <w:sz w:val="20"/>
                <w:szCs w:val="20"/>
                <w:lang w:eastAsia="en-AU"/>
              </w:rPr>
            </w:pPr>
            <w:bookmarkStart w:id="80" w:name="_Toc4661845"/>
            <w:bookmarkStart w:id="81" w:name="_Toc17104621"/>
            <w:r w:rsidRPr="00C56304">
              <w:rPr>
                <w:sz w:val="20"/>
                <w:szCs w:val="20"/>
              </w:rPr>
              <w:t>Flammable and combustible material not to be accumulated</w:t>
            </w:r>
            <w:bookmarkEnd w:id="80"/>
            <w:bookmarkEnd w:id="81"/>
          </w:p>
          <w:p w14:paraId="72B28A4E" w14:textId="77777777" w:rsidR="007E4463" w:rsidRPr="00C56304" w:rsidRDefault="007E4463" w:rsidP="00EF3DCC">
            <w:pPr>
              <w:pStyle w:val="Heading2"/>
              <w:outlineLvl w:val="1"/>
              <w:rPr>
                <w:sz w:val="20"/>
                <w:szCs w:val="20"/>
                <w:lang w:eastAsia="en-AU"/>
              </w:rPr>
            </w:pPr>
          </w:p>
        </w:tc>
        <w:tc>
          <w:tcPr>
            <w:tcW w:w="3365" w:type="dxa"/>
          </w:tcPr>
          <w:p w14:paraId="72B28A4F" w14:textId="77777777" w:rsidR="007E4463" w:rsidRPr="00C56304" w:rsidRDefault="007E4463" w:rsidP="00EF3DCC">
            <w:pPr>
              <w:spacing w:before="120" w:after="120"/>
              <w:rPr>
                <w:rFonts w:ascii="Arial" w:hAnsi="Arial" w:cs="Arial"/>
                <w:color w:val="000000"/>
                <w:sz w:val="20"/>
                <w:szCs w:val="20"/>
                <w:lang w:eastAsia="en-AU"/>
              </w:rPr>
            </w:pPr>
            <w:r w:rsidRPr="00C56304">
              <w:rPr>
                <w:rFonts w:ascii="Arial" w:hAnsi="Arial" w:cs="Arial"/>
                <w:sz w:val="20"/>
                <w:szCs w:val="20"/>
              </w:rPr>
              <w:t xml:space="preserve">R. 53 requires that flammable or combustible substances are kept at the lowest practicable quantity.  </w:t>
            </w:r>
          </w:p>
        </w:tc>
        <w:tc>
          <w:tcPr>
            <w:tcW w:w="2962" w:type="dxa"/>
          </w:tcPr>
          <w:p w14:paraId="72B28A50" w14:textId="46A7F35B" w:rsidR="007E4463" w:rsidRPr="00C56304" w:rsidRDefault="007E4463" w:rsidP="00EF3DCC">
            <w:pPr>
              <w:pStyle w:val="NoSpacing"/>
              <w:jc w:val="left"/>
              <w:rPr>
                <w:rFonts w:eastAsia="Times New Roman" w:cs="Arial"/>
                <w:color w:val="000000"/>
                <w:sz w:val="20"/>
                <w:szCs w:val="20"/>
                <w:lang w:eastAsia="en-AU"/>
              </w:rPr>
            </w:pPr>
            <w:r w:rsidRPr="00C56304">
              <w:rPr>
                <w:rFonts w:eastAsia="Times New Roman" w:cs="Arial"/>
                <w:color w:val="000000"/>
                <w:sz w:val="20"/>
                <w:szCs w:val="20"/>
                <w:lang w:eastAsia="en-AU"/>
              </w:rPr>
              <w:t>No equivalent</w:t>
            </w:r>
            <w:r w:rsidR="005A40EE">
              <w:rPr>
                <w:rFonts w:eastAsia="Times New Roman" w:cs="Arial"/>
                <w:color w:val="000000"/>
                <w:sz w:val="20"/>
                <w:szCs w:val="20"/>
                <w:lang w:eastAsia="en-AU"/>
              </w:rPr>
              <w:t>.</w:t>
            </w:r>
          </w:p>
        </w:tc>
      </w:tr>
      <w:tr w:rsidR="007E4463" w:rsidRPr="00233EF7" w14:paraId="72B28A53" w14:textId="77777777" w:rsidTr="00EF3DCC">
        <w:trPr>
          <w:trHeight w:val="373"/>
          <w:tblHeader/>
        </w:trPr>
        <w:tc>
          <w:tcPr>
            <w:tcW w:w="9289" w:type="dxa"/>
            <w:gridSpan w:val="3"/>
            <w:shd w:val="clear" w:color="auto" w:fill="006B6E"/>
            <w:vAlign w:val="center"/>
          </w:tcPr>
          <w:p w14:paraId="72B28A52" w14:textId="77777777" w:rsidR="007E4463" w:rsidRPr="00233EF7" w:rsidRDefault="007E4463" w:rsidP="00EF3DCC">
            <w:pPr>
              <w:pStyle w:val="Heading1"/>
              <w:spacing w:before="100" w:beforeAutospacing="1" w:after="100" w:afterAutospacing="1"/>
              <w:outlineLvl w:val="0"/>
              <w:rPr>
                <w:color w:val="FFFFFF" w:themeColor="background1"/>
                <w:sz w:val="20"/>
                <w:szCs w:val="20"/>
              </w:rPr>
            </w:pPr>
            <w:bookmarkStart w:id="82" w:name="_Toc451257405"/>
            <w:bookmarkStart w:id="83" w:name="_Toc451422126"/>
            <w:bookmarkStart w:id="84" w:name="_Toc451437339"/>
            <w:bookmarkStart w:id="85" w:name="_Toc4661846"/>
            <w:bookmarkStart w:id="86" w:name="_Toc17104622"/>
            <w:r w:rsidRPr="00233EF7">
              <w:rPr>
                <w:color w:val="FFFFFF" w:themeColor="background1"/>
                <w:sz w:val="20"/>
                <w:szCs w:val="20"/>
              </w:rPr>
              <w:t>Chapter Four – Hazardous Work</w:t>
            </w:r>
            <w:bookmarkEnd w:id="82"/>
            <w:bookmarkEnd w:id="83"/>
            <w:bookmarkEnd w:id="84"/>
            <w:bookmarkEnd w:id="85"/>
            <w:bookmarkEnd w:id="86"/>
          </w:p>
        </w:tc>
      </w:tr>
      <w:tr w:rsidR="007E4463" w:rsidRPr="00C56304" w14:paraId="72B28A5A" w14:textId="77777777" w:rsidTr="00EF3DCC">
        <w:trPr>
          <w:tblHeader/>
        </w:trPr>
        <w:tc>
          <w:tcPr>
            <w:tcW w:w="2962" w:type="dxa"/>
          </w:tcPr>
          <w:p w14:paraId="72B28A54" w14:textId="77777777" w:rsidR="007E4463" w:rsidRPr="00C56304" w:rsidRDefault="007E4463" w:rsidP="00EF3DCC">
            <w:pPr>
              <w:pStyle w:val="Heading2"/>
              <w:numPr>
                <w:ilvl w:val="0"/>
                <w:numId w:val="37"/>
              </w:numPr>
              <w:ind w:left="455"/>
              <w:outlineLvl w:val="1"/>
              <w:rPr>
                <w:sz w:val="20"/>
                <w:szCs w:val="20"/>
              </w:rPr>
            </w:pPr>
            <w:bookmarkStart w:id="87" w:name="_Toc451257406"/>
            <w:bookmarkStart w:id="88" w:name="_Toc451422127"/>
            <w:bookmarkStart w:id="89" w:name="_Toc451437340"/>
            <w:bookmarkStart w:id="90" w:name="_Toc4661847"/>
            <w:bookmarkStart w:id="91" w:name="_Toc17104623"/>
            <w:r w:rsidRPr="00C56304">
              <w:rPr>
                <w:sz w:val="20"/>
                <w:szCs w:val="20"/>
              </w:rPr>
              <w:t>Noise –exposure standard</w:t>
            </w:r>
            <w:bookmarkEnd w:id="87"/>
            <w:bookmarkEnd w:id="88"/>
            <w:bookmarkEnd w:id="89"/>
            <w:bookmarkEnd w:id="90"/>
            <w:bookmarkEnd w:id="91"/>
          </w:p>
          <w:p w14:paraId="72B28A55" w14:textId="77777777" w:rsidR="007E4463" w:rsidRPr="00C56304" w:rsidRDefault="007E4463" w:rsidP="00EF3DCC">
            <w:pPr>
              <w:pStyle w:val="Heading1"/>
              <w:ind w:left="455"/>
              <w:outlineLvl w:val="0"/>
              <w:rPr>
                <w:sz w:val="20"/>
                <w:szCs w:val="20"/>
              </w:rPr>
            </w:pPr>
          </w:p>
        </w:tc>
        <w:tc>
          <w:tcPr>
            <w:tcW w:w="3365" w:type="dxa"/>
          </w:tcPr>
          <w:p w14:paraId="72B28A56" w14:textId="77777777" w:rsidR="007E4463" w:rsidRPr="00C56304" w:rsidRDefault="007E4463" w:rsidP="00EF3DCC">
            <w:pPr>
              <w:spacing w:before="120" w:after="120"/>
              <w:rPr>
                <w:rFonts w:ascii="Arial" w:hAnsi="Arial" w:cs="Arial"/>
                <w:sz w:val="20"/>
                <w:szCs w:val="20"/>
              </w:rPr>
            </w:pPr>
            <w:r w:rsidRPr="00C56304">
              <w:rPr>
                <w:rFonts w:ascii="Arial" w:hAnsi="Arial" w:cs="Arial"/>
                <w:sz w:val="20"/>
                <w:szCs w:val="20"/>
              </w:rPr>
              <w:t xml:space="preserve">R. 57 requires a PCBU to ensure the noise that a worker is exposed to at the workplace does not exceed the exposure standard for noise.  </w:t>
            </w:r>
          </w:p>
        </w:tc>
        <w:tc>
          <w:tcPr>
            <w:tcW w:w="2962" w:type="dxa"/>
          </w:tcPr>
          <w:p w14:paraId="72B28A57" w14:textId="77777777" w:rsidR="007E4463" w:rsidRPr="00C56304" w:rsidRDefault="007E4463" w:rsidP="00EF3DCC">
            <w:pPr>
              <w:pStyle w:val="NoSpacing"/>
              <w:jc w:val="left"/>
              <w:rPr>
                <w:rFonts w:eastAsia="Times New Roman" w:cs="Arial"/>
                <w:sz w:val="20"/>
                <w:szCs w:val="20"/>
                <w:lang w:eastAsia="en-AU"/>
              </w:rPr>
            </w:pPr>
            <w:r w:rsidRPr="00C56304">
              <w:rPr>
                <w:rFonts w:eastAsia="Times New Roman" w:cs="Arial"/>
                <w:color w:val="000000"/>
                <w:sz w:val="20"/>
                <w:szCs w:val="20"/>
                <w:lang w:eastAsia="en-AU"/>
              </w:rPr>
              <w:t xml:space="preserve">R. 3.46 </w:t>
            </w:r>
            <w:r w:rsidRPr="00C56304">
              <w:rPr>
                <w:rFonts w:eastAsia="Times New Roman" w:cs="Arial"/>
                <w:sz w:val="20"/>
                <w:szCs w:val="20"/>
                <w:lang w:eastAsia="en-AU"/>
              </w:rPr>
              <w:t xml:space="preserve">provides the same requirement as regulation 57, but modified by practicability.  </w:t>
            </w:r>
          </w:p>
          <w:p w14:paraId="72B28A58" w14:textId="77777777" w:rsidR="007E4463" w:rsidRPr="00C56304" w:rsidRDefault="007E4463" w:rsidP="00EF3DCC">
            <w:pPr>
              <w:pStyle w:val="NoSpacing"/>
              <w:jc w:val="left"/>
              <w:rPr>
                <w:rFonts w:eastAsia="Times New Roman" w:cs="Arial"/>
                <w:sz w:val="20"/>
                <w:szCs w:val="20"/>
                <w:lang w:eastAsia="en-AU"/>
              </w:rPr>
            </w:pPr>
            <w:r w:rsidRPr="00C56304">
              <w:rPr>
                <w:rFonts w:eastAsia="Times New Roman" w:cs="Arial"/>
                <w:sz w:val="20"/>
                <w:szCs w:val="20"/>
                <w:lang w:eastAsia="en-AU"/>
              </w:rPr>
              <w:t>R. 7.3 of the MSI regulations provides the action level similar to the OSH regulations.</w:t>
            </w:r>
          </w:p>
          <w:p w14:paraId="72B28A59" w14:textId="77777777" w:rsidR="007E4463" w:rsidRPr="00C56304" w:rsidRDefault="007E4463" w:rsidP="00EF3DCC">
            <w:pPr>
              <w:pStyle w:val="NoSpacing"/>
              <w:jc w:val="left"/>
              <w:rPr>
                <w:rFonts w:eastAsia="Times New Roman" w:cs="Arial"/>
                <w:color w:val="000000"/>
                <w:sz w:val="20"/>
                <w:szCs w:val="20"/>
                <w:lang w:eastAsia="en-AU"/>
              </w:rPr>
            </w:pPr>
            <w:r w:rsidRPr="00C56304">
              <w:rPr>
                <w:rFonts w:eastAsia="Times New Roman" w:cs="Arial"/>
                <w:sz w:val="20"/>
                <w:szCs w:val="20"/>
                <w:lang w:eastAsia="en-AU"/>
              </w:rPr>
              <w:lastRenderedPageBreak/>
              <w:t xml:space="preserve">R. 7.4 of the MSI regulations requires noise levels to be reduced so far as is practicable.  </w:t>
            </w:r>
          </w:p>
        </w:tc>
      </w:tr>
      <w:tr w:rsidR="007E4463" w:rsidRPr="00C56304" w14:paraId="72B28A60" w14:textId="77777777" w:rsidTr="00EF3DCC">
        <w:trPr>
          <w:tblHeader/>
        </w:trPr>
        <w:tc>
          <w:tcPr>
            <w:tcW w:w="2962" w:type="dxa"/>
          </w:tcPr>
          <w:p w14:paraId="72B28A5B" w14:textId="77777777" w:rsidR="007E4463" w:rsidRPr="00C56304" w:rsidRDefault="007E4463" w:rsidP="00EF3DCC">
            <w:pPr>
              <w:pStyle w:val="Heading2"/>
              <w:numPr>
                <w:ilvl w:val="0"/>
                <w:numId w:val="37"/>
              </w:numPr>
              <w:ind w:left="455"/>
              <w:outlineLvl w:val="1"/>
              <w:rPr>
                <w:sz w:val="20"/>
                <w:szCs w:val="20"/>
              </w:rPr>
            </w:pPr>
            <w:bookmarkStart w:id="92" w:name="_Toc451257407"/>
            <w:bookmarkStart w:id="93" w:name="_Toc451422128"/>
            <w:bookmarkStart w:id="94" w:name="_Toc451437341"/>
            <w:bookmarkStart w:id="95" w:name="_Toc4661848"/>
            <w:bookmarkStart w:id="96" w:name="_Toc17104624"/>
            <w:r w:rsidRPr="00C56304">
              <w:rPr>
                <w:sz w:val="20"/>
                <w:szCs w:val="20"/>
              </w:rPr>
              <w:lastRenderedPageBreak/>
              <w:t>Noise – audiometric testing</w:t>
            </w:r>
            <w:bookmarkEnd w:id="92"/>
            <w:bookmarkEnd w:id="93"/>
            <w:bookmarkEnd w:id="94"/>
            <w:bookmarkEnd w:id="95"/>
            <w:bookmarkEnd w:id="96"/>
          </w:p>
          <w:p w14:paraId="72B28A5C" w14:textId="77777777" w:rsidR="007E4463" w:rsidRPr="00C56304" w:rsidRDefault="007E4463" w:rsidP="00EF3DCC">
            <w:pPr>
              <w:pStyle w:val="Heading2"/>
              <w:ind w:left="455"/>
              <w:outlineLvl w:val="1"/>
              <w:rPr>
                <w:sz w:val="20"/>
                <w:szCs w:val="20"/>
              </w:rPr>
            </w:pPr>
          </w:p>
        </w:tc>
        <w:tc>
          <w:tcPr>
            <w:tcW w:w="3365" w:type="dxa"/>
          </w:tcPr>
          <w:p w14:paraId="72B28A5D" w14:textId="77777777" w:rsidR="007E4463" w:rsidRPr="00C56304" w:rsidRDefault="007E4463" w:rsidP="00EF3DCC">
            <w:pPr>
              <w:spacing w:before="120" w:after="120"/>
              <w:rPr>
                <w:rFonts w:ascii="Arial" w:hAnsi="Arial" w:cs="Arial"/>
                <w:sz w:val="20"/>
                <w:szCs w:val="20"/>
              </w:rPr>
            </w:pPr>
            <w:r w:rsidRPr="00C56304">
              <w:rPr>
                <w:rFonts w:ascii="Arial" w:hAnsi="Arial" w:cs="Arial"/>
                <w:sz w:val="20"/>
                <w:szCs w:val="20"/>
              </w:rPr>
              <w:t xml:space="preserve">R. 58 provide requirements for audiometric testing, including timeframes for when testing must commence and how often it should be repeated.  </w:t>
            </w:r>
          </w:p>
        </w:tc>
        <w:tc>
          <w:tcPr>
            <w:tcW w:w="2962" w:type="dxa"/>
          </w:tcPr>
          <w:p w14:paraId="72B28A5E" w14:textId="77777777" w:rsidR="007E4463" w:rsidRPr="00C56304" w:rsidRDefault="007E4463" w:rsidP="00EF3DCC">
            <w:pPr>
              <w:pStyle w:val="NoSpacing"/>
              <w:jc w:val="left"/>
              <w:rPr>
                <w:rFonts w:eastAsia="Times New Roman" w:cs="Arial"/>
                <w:color w:val="000000"/>
                <w:sz w:val="20"/>
                <w:szCs w:val="20"/>
                <w:lang w:eastAsia="en-AU"/>
              </w:rPr>
            </w:pPr>
            <w:r w:rsidRPr="00C56304">
              <w:rPr>
                <w:rFonts w:eastAsia="Times New Roman" w:cs="Arial"/>
                <w:color w:val="000000"/>
                <w:sz w:val="20"/>
                <w:szCs w:val="20"/>
                <w:lang w:eastAsia="en-AU"/>
              </w:rPr>
              <w:t>No equivalent in the OSH regulations.</w:t>
            </w:r>
          </w:p>
          <w:p w14:paraId="72B28A5F" w14:textId="77777777" w:rsidR="007E4463" w:rsidRPr="00C56304" w:rsidRDefault="007E4463" w:rsidP="00EF3DCC">
            <w:pPr>
              <w:pStyle w:val="NoSpacing"/>
              <w:jc w:val="left"/>
              <w:rPr>
                <w:rFonts w:eastAsia="Times New Roman" w:cs="Arial"/>
                <w:color w:val="000000"/>
                <w:sz w:val="20"/>
                <w:szCs w:val="20"/>
                <w:lang w:eastAsia="en-AU"/>
              </w:rPr>
            </w:pPr>
            <w:r w:rsidRPr="00C56304">
              <w:rPr>
                <w:rFonts w:eastAsia="Times New Roman" w:cs="Arial"/>
                <w:color w:val="000000"/>
                <w:sz w:val="20"/>
                <w:szCs w:val="20"/>
                <w:lang w:eastAsia="en-AU"/>
              </w:rPr>
              <w:t xml:space="preserve">There is no specific requirement for audiometric testing in the MSI regulations but it forms part of health assessment under r. 3.27(1) which is based on risk of exposure.  In addition, the State Mining Engineer may require any additional health monitoring (r. 3.27(2)).  </w:t>
            </w:r>
          </w:p>
        </w:tc>
      </w:tr>
      <w:tr w:rsidR="007E4463" w:rsidRPr="00C56304" w14:paraId="72B28A6C" w14:textId="77777777" w:rsidTr="00EF3DCC">
        <w:trPr>
          <w:tblHeader/>
        </w:trPr>
        <w:tc>
          <w:tcPr>
            <w:tcW w:w="2962" w:type="dxa"/>
          </w:tcPr>
          <w:p w14:paraId="72B28A61" w14:textId="77777777" w:rsidR="007E4463" w:rsidRPr="00C56304" w:rsidRDefault="007E4463" w:rsidP="00EF3DCC">
            <w:pPr>
              <w:pStyle w:val="Heading2"/>
              <w:numPr>
                <w:ilvl w:val="0"/>
                <w:numId w:val="37"/>
              </w:numPr>
              <w:ind w:left="455"/>
              <w:outlineLvl w:val="1"/>
              <w:rPr>
                <w:sz w:val="20"/>
                <w:szCs w:val="20"/>
                <w:lang w:eastAsia="en-AU"/>
              </w:rPr>
            </w:pPr>
            <w:bookmarkStart w:id="97" w:name="_Toc4661849"/>
            <w:bookmarkStart w:id="98" w:name="_Toc17104625"/>
            <w:r w:rsidRPr="00C56304">
              <w:rPr>
                <w:sz w:val="20"/>
                <w:szCs w:val="20"/>
                <w:lang w:eastAsia="en-AU"/>
              </w:rPr>
              <w:t>Management of risk of fall</w:t>
            </w:r>
            <w:bookmarkEnd w:id="97"/>
            <w:bookmarkEnd w:id="98"/>
          </w:p>
          <w:p w14:paraId="72B28A62" w14:textId="77777777" w:rsidR="007E4463" w:rsidRPr="00C56304" w:rsidRDefault="007E4463" w:rsidP="00EF3DCC">
            <w:pPr>
              <w:pStyle w:val="Heading2"/>
              <w:ind w:left="455"/>
              <w:outlineLvl w:val="1"/>
              <w:rPr>
                <w:sz w:val="20"/>
                <w:szCs w:val="20"/>
              </w:rPr>
            </w:pPr>
          </w:p>
        </w:tc>
        <w:tc>
          <w:tcPr>
            <w:tcW w:w="3365" w:type="dxa"/>
          </w:tcPr>
          <w:p w14:paraId="72B28A63" w14:textId="0DEE11A3" w:rsidR="007E4463" w:rsidRPr="00C56304" w:rsidRDefault="007E4463" w:rsidP="00EF3DCC">
            <w:pPr>
              <w:pStyle w:val="NoSpacing"/>
              <w:jc w:val="left"/>
              <w:rPr>
                <w:rFonts w:eastAsia="Times New Roman" w:cs="Arial"/>
                <w:color w:val="000000"/>
                <w:sz w:val="20"/>
                <w:szCs w:val="20"/>
                <w:lang w:eastAsia="en-AU"/>
              </w:rPr>
            </w:pPr>
            <w:r w:rsidRPr="00C56304">
              <w:rPr>
                <w:rFonts w:eastAsia="Times New Roman" w:cs="Arial"/>
                <w:color w:val="000000"/>
                <w:sz w:val="20"/>
                <w:szCs w:val="20"/>
                <w:lang w:eastAsia="en-AU"/>
              </w:rPr>
              <w:t>Regulations 78 and 79 require that w</w:t>
            </w:r>
            <w:r w:rsidRPr="00C56304">
              <w:rPr>
                <w:rFonts w:cs="Arial"/>
                <w:sz w:val="20"/>
                <w:szCs w:val="20"/>
              </w:rPr>
              <w:t xml:space="preserve">here it is not </w:t>
            </w:r>
            <w:r w:rsidRPr="00C56304">
              <w:rPr>
                <w:rFonts w:cs="Arial"/>
                <w:bCs/>
                <w:iCs/>
                <w:sz w:val="20"/>
                <w:szCs w:val="20"/>
              </w:rPr>
              <w:t xml:space="preserve">reasonably practicable </w:t>
            </w:r>
            <w:r w:rsidRPr="00C56304">
              <w:rPr>
                <w:rFonts w:cs="Arial"/>
                <w:sz w:val="20"/>
                <w:szCs w:val="20"/>
              </w:rPr>
              <w:t>to eliminate the risk of falls from one level to another, the person conducting a business or undertaking must provide adequate protection against the risks by:</w:t>
            </w:r>
          </w:p>
          <w:p w14:paraId="72B28A64" w14:textId="4D3B5AAE" w:rsidR="007E4463" w:rsidRPr="00C56304" w:rsidRDefault="007E4463" w:rsidP="00EF3DCC">
            <w:pPr>
              <w:pStyle w:val="ListParagraph"/>
              <w:numPr>
                <w:ilvl w:val="0"/>
                <w:numId w:val="23"/>
              </w:numPr>
              <w:tabs>
                <w:tab w:val="clear" w:pos="720"/>
              </w:tabs>
              <w:autoSpaceDE w:val="0"/>
              <w:autoSpaceDN w:val="0"/>
              <w:adjustRightInd w:val="0"/>
              <w:spacing w:before="120" w:after="120"/>
              <w:ind w:left="442" w:hanging="442"/>
              <w:contextualSpacing w:val="0"/>
              <w:rPr>
                <w:rFonts w:ascii="Arial" w:hAnsi="Arial" w:cs="Arial"/>
                <w:sz w:val="20"/>
                <w:szCs w:val="20"/>
              </w:rPr>
            </w:pPr>
            <w:r w:rsidRPr="00C56304">
              <w:rPr>
                <w:rFonts w:ascii="Arial" w:hAnsi="Arial" w:cs="Arial"/>
                <w:sz w:val="20"/>
                <w:szCs w:val="20"/>
              </w:rPr>
              <w:t xml:space="preserve">providing a fall prevention device </w:t>
            </w:r>
            <w:r w:rsidR="00E34F17">
              <w:rPr>
                <w:rFonts w:ascii="Arial" w:hAnsi="Arial" w:cs="Arial"/>
                <w:bCs/>
                <w:iCs/>
                <w:sz w:val="20"/>
                <w:szCs w:val="20"/>
              </w:rPr>
              <w:t>if it i</w:t>
            </w:r>
            <w:r w:rsidRPr="00C56304">
              <w:rPr>
                <w:rFonts w:ascii="Arial" w:hAnsi="Arial" w:cs="Arial"/>
                <w:bCs/>
                <w:iCs/>
                <w:sz w:val="20"/>
                <w:szCs w:val="20"/>
              </w:rPr>
              <w:t xml:space="preserve">s reasonably practicable </w:t>
            </w:r>
            <w:r w:rsidRPr="00C56304">
              <w:rPr>
                <w:rFonts w:ascii="Arial" w:hAnsi="Arial" w:cs="Arial"/>
                <w:sz w:val="20"/>
                <w:szCs w:val="20"/>
              </w:rPr>
              <w:t xml:space="preserve">to do so; </w:t>
            </w:r>
          </w:p>
          <w:p w14:paraId="72B28A65" w14:textId="77777777" w:rsidR="007E4463" w:rsidRPr="00C56304" w:rsidRDefault="007E4463" w:rsidP="00EF3DCC">
            <w:pPr>
              <w:pStyle w:val="ListParagraph"/>
              <w:numPr>
                <w:ilvl w:val="0"/>
                <w:numId w:val="23"/>
              </w:numPr>
              <w:tabs>
                <w:tab w:val="clear" w:pos="720"/>
              </w:tabs>
              <w:autoSpaceDE w:val="0"/>
              <w:autoSpaceDN w:val="0"/>
              <w:adjustRightInd w:val="0"/>
              <w:spacing w:before="120" w:after="120"/>
              <w:ind w:left="442" w:hanging="442"/>
              <w:contextualSpacing w:val="0"/>
              <w:rPr>
                <w:rFonts w:ascii="Arial" w:hAnsi="Arial" w:cs="Arial"/>
                <w:color w:val="000000"/>
                <w:sz w:val="20"/>
                <w:szCs w:val="20"/>
                <w:lang w:eastAsia="en-AU"/>
              </w:rPr>
            </w:pPr>
            <w:r w:rsidRPr="00C56304">
              <w:rPr>
                <w:rFonts w:ascii="Arial" w:hAnsi="Arial" w:cs="Arial"/>
                <w:sz w:val="20"/>
                <w:szCs w:val="20"/>
              </w:rPr>
              <w:t xml:space="preserve">if the above is </w:t>
            </w:r>
            <w:r w:rsidRPr="00C56304">
              <w:rPr>
                <w:rFonts w:ascii="Arial" w:hAnsi="Arial" w:cs="Arial"/>
                <w:bCs/>
                <w:iCs/>
                <w:sz w:val="20"/>
                <w:szCs w:val="20"/>
              </w:rPr>
              <w:t>not reasonably practicable</w:t>
            </w:r>
            <w:r w:rsidRPr="00C56304">
              <w:rPr>
                <w:rFonts w:ascii="Arial" w:hAnsi="Arial" w:cs="Arial"/>
                <w:sz w:val="20"/>
                <w:szCs w:val="20"/>
              </w:rPr>
              <w:t xml:space="preserve">, provide a work positioning system; or </w:t>
            </w:r>
          </w:p>
          <w:p w14:paraId="72B28A66" w14:textId="77777777" w:rsidR="007E4463" w:rsidRPr="00C56304" w:rsidRDefault="007E4463" w:rsidP="00EF3DCC">
            <w:pPr>
              <w:pStyle w:val="ListParagraph"/>
              <w:numPr>
                <w:ilvl w:val="0"/>
                <w:numId w:val="23"/>
              </w:numPr>
              <w:tabs>
                <w:tab w:val="clear" w:pos="720"/>
              </w:tabs>
              <w:autoSpaceDE w:val="0"/>
              <w:autoSpaceDN w:val="0"/>
              <w:adjustRightInd w:val="0"/>
              <w:spacing w:before="120" w:after="120"/>
              <w:ind w:left="442" w:hanging="442"/>
              <w:contextualSpacing w:val="0"/>
              <w:rPr>
                <w:rFonts w:ascii="Arial" w:hAnsi="Arial" w:cs="Arial"/>
                <w:color w:val="000000"/>
                <w:sz w:val="20"/>
                <w:szCs w:val="20"/>
                <w:lang w:eastAsia="en-AU"/>
              </w:rPr>
            </w:pPr>
            <w:r w:rsidRPr="00C56304">
              <w:rPr>
                <w:rFonts w:ascii="Arial" w:hAnsi="Arial" w:cs="Arial"/>
                <w:sz w:val="20"/>
                <w:szCs w:val="20"/>
              </w:rPr>
              <w:t xml:space="preserve">where the above two measures are </w:t>
            </w:r>
            <w:r w:rsidRPr="00C56304">
              <w:rPr>
                <w:rFonts w:ascii="Arial" w:hAnsi="Arial" w:cs="Arial"/>
                <w:bCs/>
                <w:iCs/>
                <w:sz w:val="20"/>
                <w:szCs w:val="20"/>
              </w:rPr>
              <w:t>not reasonably practicable</w:t>
            </w:r>
            <w:r w:rsidRPr="00C56304">
              <w:rPr>
                <w:rFonts w:ascii="Arial" w:hAnsi="Arial" w:cs="Arial"/>
                <w:sz w:val="20"/>
                <w:szCs w:val="20"/>
              </w:rPr>
              <w:t>, provide a fall arrest system.</w:t>
            </w:r>
          </w:p>
          <w:p w14:paraId="72B28A67" w14:textId="77777777" w:rsidR="007E4463" w:rsidRPr="00C56304" w:rsidRDefault="007E4463" w:rsidP="00EF3DCC">
            <w:pPr>
              <w:spacing w:before="120" w:after="120"/>
              <w:rPr>
                <w:rFonts w:ascii="Arial" w:hAnsi="Arial" w:cs="Arial"/>
                <w:sz w:val="20"/>
                <w:szCs w:val="20"/>
              </w:rPr>
            </w:pPr>
          </w:p>
        </w:tc>
        <w:tc>
          <w:tcPr>
            <w:tcW w:w="2962" w:type="dxa"/>
          </w:tcPr>
          <w:p w14:paraId="72B28A68" w14:textId="77777777" w:rsidR="007E4463" w:rsidRPr="00C56304" w:rsidRDefault="007E4463" w:rsidP="00EF3DCC">
            <w:pPr>
              <w:autoSpaceDE w:val="0"/>
              <w:autoSpaceDN w:val="0"/>
              <w:adjustRightInd w:val="0"/>
              <w:spacing w:before="120" w:after="120"/>
              <w:rPr>
                <w:rFonts w:ascii="Arial" w:hAnsi="Arial" w:cs="Arial"/>
                <w:sz w:val="20"/>
                <w:szCs w:val="20"/>
              </w:rPr>
            </w:pPr>
            <w:r w:rsidRPr="00C56304">
              <w:rPr>
                <w:rFonts w:ascii="Arial" w:hAnsi="Arial" w:cs="Arial"/>
                <w:color w:val="000000"/>
                <w:sz w:val="20"/>
                <w:szCs w:val="20"/>
                <w:lang w:eastAsia="en-AU"/>
              </w:rPr>
              <w:t xml:space="preserve">Under r. 3.55, </w:t>
            </w:r>
            <w:r w:rsidRPr="00C56304">
              <w:rPr>
                <w:rFonts w:ascii="Arial" w:hAnsi="Arial" w:cs="Arial"/>
                <w:sz w:val="20"/>
                <w:szCs w:val="20"/>
              </w:rPr>
              <w:t>employers and main contractors, self-employed people or a person having control of a workplace must ensure that:</w:t>
            </w:r>
          </w:p>
          <w:p w14:paraId="72B28A69" w14:textId="77777777" w:rsidR="007E4463" w:rsidRPr="00C56304" w:rsidRDefault="007E4463" w:rsidP="00EF3DCC">
            <w:pPr>
              <w:pStyle w:val="ListParagraph"/>
              <w:numPr>
                <w:ilvl w:val="0"/>
                <w:numId w:val="24"/>
              </w:numPr>
              <w:tabs>
                <w:tab w:val="clear" w:pos="720"/>
              </w:tabs>
              <w:autoSpaceDE w:val="0"/>
              <w:autoSpaceDN w:val="0"/>
              <w:adjustRightInd w:val="0"/>
              <w:spacing w:before="120" w:after="120"/>
              <w:ind w:left="495" w:hanging="495"/>
              <w:contextualSpacing w:val="0"/>
              <w:rPr>
                <w:rFonts w:ascii="Arial" w:hAnsi="Arial" w:cs="Arial"/>
                <w:sz w:val="20"/>
                <w:szCs w:val="20"/>
              </w:rPr>
            </w:pPr>
            <w:r w:rsidRPr="00C56304">
              <w:rPr>
                <w:rFonts w:ascii="Arial" w:hAnsi="Arial" w:cs="Arial"/>
                <w:bCs/>
                <w:iCs/>
                <w:sz w:val="20"/>
                <w:szCs w:val="20"/>
              </w:rPr>
              <w:t xml:space="preserve">edge protection is provided </w:t>
            </w:r>
            <w:r w:rsidRPr="00C56304">
              <w:rPr>
                <w:rFonts w:ascii="Arial" w:hAnsi="Arial" w:cs="Arial"/>
                <w:sz w:val="20"/>
                <w:szCs w:val="20"/>
              </w:rPr>
              <w:t xml:space="preserve">and kept in place where there is a risk of a fall of </w:t>
            </w:r>
            <w:r w:rsidRPr="00C56304">
              <w:rPr>
                <w:rFonts w:ascii="Arial" w:hAnsi="Arial" w:cs="Arial"/>
                <w:bCs/>
                <w:iCs/>
                <w:sz w:val="20"/>
                <w:szCs w:val="20"/>
              </w:rPr>
              <w:t xml:space="preserve">two or more meters </w:t>
            </w:r>
            <w:r w:rsidRPr="00C56304">
              <w:rPr>
                <w:rFonts w:ascii="Arial" w:hAnsi="Arial" w:cs="Arial"/>
                <w:sz w:val="20"/>
                <w:szCs w:val="20"/>
              </w:rPr>
              <w:t>from the edge of a scaffold, fixed stair, landing, suspended slab, formwork or falsework at the workplace; and</w:t>
            </w:r>
          </w:p>
          <w:p w14:paraId="72B28A6A" w14:textId="77777777" w:rsidR="007E4463" w:rsidRPr="00C56304" w:rsidRDefault="007E4463" w:rsidP="00EF3DCC">
            <w:pPr>
              <w:pStyle w:val="ListParagraph"/>
              <w:numPr>
                <w:ilvl w:val="0"/>
                <w:numId w:val="24"/>
              </w:numPr>
              <w:tabs>
                <w:tab w:val="clear" w:pos="720"/>
              </w:tabs>
              <w:autoSpaceDE w:val="0"/>
              <w:autoSpaceDN w:val="0"/>
              <w:adjustRightInd w:val="0"/>
              <w:spacing w:before="120" w:after="120"/>
              <w:ind w:left="495" w:hanging="495"/>
              <w:contextualSpacing w:val="0"/>
              <w:rPr>
                <w:rFonts w:ascii="Arial" w:hAnsi="Arial" w:cs="Arial"/>
                <w:color w:val="000000"/>
                <w:sz w:val="20"/>
                <w:szCs w:val="20"/>
                <w:lang w:eastAsia="en-AU"/>
              </w:rPr>
            </w:pPr>
            <w:r w:rsidRPr="00C56304">
              <w:rPr>
                <w:rFonts w:ascii="Arial" w:hAnsi="Arial" w:cs="Arial"/>
                <w:sz w:val="20"/>
                <w:szCs w:val="20"/>
              </w:rPr>
              <w:t xml:space="preserve">for any other edges where there is a risk of a fall of </w:t>
            </w:r>
            <w:r w:rsidRPr="00C56304">
              <w:rPr>
                <w:rFonts w:ascii="Arial" w:hAnsi="Arial" w:cs="Arial"/>
                <w:bCs/>
                <w:iCs/>
                <w:sz w:val="20"/>
                <w:szCs w:val="20"/>
              </w:rPr>
              <w:t>three or more metres</w:t>
            </w:r>
            <w:r w:rsidRPr="00C56304">
              <w:rPr>
                <w:rFonts w:ascii="Arial" w:hAnsi="Arial" w:cs="Arial"/>
                <w:iCs/>
                <w:sz w:val="20"/>
                <w:szCs w:val="20"/>
              </w:rPr>
              <w:t xml:space="preserve">, </w:t>
            </w:r>
            <w:r w:rsidRPr="00C56304">
              <w:rPr>
                <w:rFonts w:ascii="Arial" w:hAnsi="Arial" w:cs="Arial"/>
                <w:bCs/>
                <w:iCs/>
                <w:sz w:val="20"/>
                <w:szCs w:val="20"/>
              </w:rPr>
              <w:t xml:space="preserve">edge protection or a fall injury prevention system </w:t>
            </w:r>
            <w:r w:rsidRPr="00C56304">
              <w:rPr>
                <w:rFonts w:ascii="Arial" w:hAnsi="Arial" w:cs="Arial"/>
                <w:sz w:val="20"/>
                <w:szCs w:val="20"/>
              </w:rPr>
              <w:t>must be provided.</w:t>
            </w:r>
          </w:p>
          <w:p w14:paraId="72B28A6B" w14:textId="77777777" w:rsidR="007E4463" w:rsidRPr="00C56304" w:rsidRDefault="007E4463" w:rsidP="00EF3DCC">
            <w:pPr>
              <w:autoSpaceDE w:val="0"/>
              <w:autoSpaceDN w:val="0"/>
              <w:adjustRightInd w:val="0"/>
              <w:spacing w:before="120" w:after="120"/>
              <w:rPr>
                <w:rFonts w:ascii="Arial" w:hAnsi="Arial" w:cs="Arial"/>
                <w:color w:val="000000"/>
                <w:sz w:val="20"/>
                <w:szCs w:val="20"/>
                <w:lang w:eastAsia="en-AU"/>
              </w:rPr>
            </w:pPr>
            <w:r w:rsidRPr="00C56304">
              <w:rPr>
                <w:rFonts w:ascii="Arial" w:hAnsi="Arial" w:cs="Arial"/>
                <w:color w:val="000000"/>
                <w:sz w:val="20"/>
                <w:szCs w:val="20"/>
                <w:lang w:eastAsia="en-AU"/>
              </w:rPr>
              <w:t xml:space="preserve">In addition, r. 3.54 requires holes or openings, with dimensions of more than 200mm x 200mm but less than 2 metres x 2 metres, are covered. </w:t>
            </w:r>
          </w:p>
        </w:tc>
      </w:tr>
      <w:tr w:rsidR="007E4463" w:rsidRPr="00C56304" w14:paraId="72B28A71" w14:textId="77777777" w:rsidTr="00EF3DCC">
        <w:trPr>
          <w:tblHeader/>
        </w:trPr>
        <w:tc>
          <w:tcPr>
            <w:tcW w:w="2962" w:type="dxa"/>
          </w:tcPr>
          <w:p w14:paraId="72B28A6D" w14:textId="77777777" w:rsidR="007E4463" w:rsidRPr="00C56304" w:rsidRDefault="007E4463" w:rsidP="00EF3DCC">
            <w:pPr>
              <w:pStyle w:val="Heading2"/>
              <w:numPr>
                <w:ilvl w:val="0"/>
                <w:numId w:val="37"/>
              </w:numPr>
              <w:ind w:left="455"/>
              <w:outlineLvl w:val="1"/>
              <w:rPr>
                <w:sz w:val="20"/>
                <w:szCs w:val="20"/>
              </w:rPr>
            </w:pPr>
            <w:bookmarkStart w:id="99" w:name="_Toc4661850"/>
            <w:bookmarkStart w:id="100" w:name="_Toc17104626"/>
            <w:r w:rsidRPr="00C56304">
              <w:rPr>
                <w:sz w:val="20"/>
                <w:szCs w:val="20"/>
              </w:rPr>
              <w:t>Notice of assessment – time to apply, HRWL</w:t>
            </w:r>
            <w:bookmarkEnd w:id="99"/>
            <w:bookmarkEnd w:id="100"/>
          </w:p>
          <w:p w14:paraId="72B28A6E" w14:textId="77777777" w:rsidR="007E4463" w:rsidRPr="00C56304" w:rsidRDefault="007E4463" w:rsidP="00EF3DCC">
            <w:pPr>
              <w:pStyle w:val="Heading2"/>
              <w:ind w:left="455"/>
              <w:outlineLvl w:val="1"/>
              <w:rPr>
                <w:sz w:val="20"/>
                <w:szCs w:val="20"/>
              </w:rPr>
            </w:pPr>
          </w:p>
        </w:tc>
        <w:tc>
          <w:tcPr>
            <w:tcW w:w="3365" w:type="dxa"/>
          </w:tcPr>
          <w:p w14:paraId="72B28A6F" w14:textId="77777777" w:rsidR="007E4463" w:rsidRPr="00C56304" w:rsidRDefault="007E4463" w:rsidP="00EF3DCC">
            <w:pPr>
              <w:pStyle w:val="NoSpacing"/>
              <w:jc w:val="left"/>
              <w:rPr>
                <w:rFonts w:cs="Arial"/>
                <w:sz w:val="20"/>
                <w:szCs w:val="20"/>
              </w:rPr>
            </w:pPr>
            <w:r w:rsidRPr="00C56304">
              <w:rPr>
                <w:rFonts w:cs="Arial"/>
                <w:sz w:val="20"/>
                <w:szCs w:val="20"/>
              </w:rPr>
              <w:t xml:space="preserve">R. </w:t>
            </w:r>
            <w:r w:rsidRPr="00C56304">
              <w:rPr>
                <w:rFonts w:eastAsia="Times New Roman" w:cs="Arial"/>
                <w:color w:val="000000"/>
                <w:sz w:val="20"/>
                <w:szCs w:val="20"/>
                <w:lang w:eastAsia="en-AU"/>
              </w:rPr>
              <w:t xml:space="preserve">87(2)(f)(ii) </w:t>
            </w:r>
            <w:r w:rsidRPr="00C56304">
              <w:rPr>
                <w:rFonts w:cs="Arial"/>
                <w:sz w:val="20"/>
                <w:szCs w:val="20"/>
              </w:rPr>
              <w:t xml:space="preserve">requires an application for an HRWL to include a copy of a </w:t>
            </w:r>
            <w:r w:rsidRPr="00C56304">
              <w:rPr>
                <w:rFonts w:cs="Arial"/>
                <w:b/>
                <w:i/>
                <w:sz w:val="20"/>
                <w:szCs w:val="20"/>
              </w:rPr>
              <w:t>certification</w:t>
            </w:r>
            <w:r w:rsidRPr="00C56304">
              <w:rPr>
                <w:rFonts w:cs="Arial"/>
                <w:sz w:val="20"/>
                <w:szCs w:val="20"/>
              </w:rPr>
              <w:t xml:space="preserve"> that was issued not more than 60 days before the application is made. </w:t>
            </w:r>
          </w:p>
        </w:tc>
        <w:tc>
          <w:tcPr>
            <w:tcW w:w="2962" w:type="dxa"/>
          </w:tcPr>
          <w:p w14:paraId="72B28A70" w14:textId="77777777" w:rsidR="007E4463" w:rsidRPr="00C56304" w:rsidRDefault="007E4463" w:rsidP="00EF3DCC">
            <w:pPr>
              <w:autoSpaceDE w:val="0"/>
              <w:autoSpaceDN w:val="0"/>
              <w:adjustRightInd w:val="0"/>
              <w:spacing w:before="120" w:after="120"/>
              <w:rPr>
                <w:rFonts w:ascii="Arial" w:hAnsi="Arial" w:cs="Arial"/>
                <w:sz w:val="20"/>
                <w:szCs w:val="20"/>
              </w:rPr>
            </w:pPr>
            <w:r w:rsidRPr="00C56304">
              <w:rPr>
                <w:rFonts w:ascii="Arial" w:hAnsi="Arial" w:cs="Arial"/>
                <w:sz w:val="20"/>
                <w:szCs w:val="20"/>
              </w:rPr>
              <w:t>R. 6.6(3)(a) requires a ‘recently issued’ notice of satisfactory assessment.  This approach provides flexibility for the regulator to deal with applications made soon after the deadline when there are mitigating circumstances for the late application (such as the applicant being in a remote or regional area).</w:t>
            </w:r>
          </w:p>
        </w:tc>
      </w:tr>
      <w:tr w:rsidR="007E4463" w:rsidRPr="00C56304" w14:paraId="72B28A79" w14:textId="77777777" w:rsidTr="00EF3DCC">
        <w:trPr>
          <w:tblHeader/>
        </w:trPr>
        <w:tc>
          <w:tcPr>
            <w:tcW w:w="2962" w:type="dxa"/>
          </w:tcPr>
          <w:p w14:paraId="72B28A72" w14:textId="77777777" w:rsidR="007E4463" w:rsidRPr="00C56304" w:rsidRDefault="007E4463" w:rsidP="00EF3DCC">
            <w:pPr>
              <w:pStyle w:val="Heading2"/>
              <w:numPr>
                <w:ilvl w:val="0"/>
                <w:numId w:val="37"/>
              </w:numPr>
              <w:ind w:left="455"/>
              <w:outlineLvl w:val="1"/>
              <w:rPr>
                <w:sz w:val="20"/>
                <w:szCs w:val="20"/>
              </w:rPr>
            </w:pPr>
            <w:bookmarkStart w:id="101" w:name="_Toc4661851"/>
            <w:bookmarkStart w:id="102" w:name="_Toc17104627"/>
            <w:r w:rsidRPr="00C56304">
              <w:rPr>
                <w:sz w:val="20"/>
                <w:szCs w:val="20"/>
              </w:rPr>
              <w:lastRenderedPageBreak/>
              <w:t>Residential requirements for authorisations</w:t>
            </w:r>
            <w:bookmarkEnd w:id="101"/>
            <w:bookmarkEnd w:id="102"/>
          </w:p>
          <w:p w14:paraId="72B28A73" w14:textId="77777777" w:rsidR="007E4463" w:rsidRPr="00C56304" w:rsidRDefault="007E4463" w:rsidP="00EF3DCC">
            <w:pPr>
              <w:pStyle w:val="Heading2"/>
              <w:ind w:left="455"/>
              <w:outlineLvl w:val="1"/>
              <w:rPr>
                <w:sz w:val="20"/>
                <w:szCs w:val="20"/>
              </w:rPr>
            </w:pPr>
          </w:p>
        </w:tc>
        <w:tc>
          <w:tcPr>
            <w:tcW w:w="3365" w:type="dxa"/>
          </w:tcPr>
          <w:p w14:paraId="72B28A74" w14:textId="77777777" w:rsidR="007E4463" w:rsidRPr="00C56304" w:rsidRDefault="007E4463" w:rsidP="00EF3DCC">
            <w:pPr>
              <w:pStyle w:val="NoSpacing"/>
              <w:jc w:val="left"/>
              <w:rPr>
                <w:rFonts w:cs="Arial"/>
                <w:sz w:val="20"/>
                <w:szCs w:val="20"/>
              </w:rPr>
            </w:pPr>
            <w:r w:rsidRPr="00C56304">
              <w:rPr>
                <w:rFonts w:cs="Arial"/>
                <w:sz w:val="20"/>
                <w:szCs w:val="20"/>
              </w:rPr>
              <w:t xml:space="preserve">The regulator is required by r. 89(2)(c)(i) to be satisfied that applicants reside in the jurisdiction before issuing an HRWL.  The WHS regulations also allow the regulator to issue an HRWL if circumstances exist that justify the grant of the licence (WHS r. 89(2)(c)(ii)).  </w:t>
            </w:r>
          </w:p>
          <w:p w14:paraId="72B28A75" w14:textId="77777777" w:rsidR="007E4463" w:rsidRPr="00C56304" w:rsidRDefault="007E4463" w:rsidP="00EF3DCC">
            <w:pPr>
              <w:pStyle w:val="NoSpacing"/>
              <w:jc w:val="left"/>
              <w:rPr>
                <w:rFonts w:cs="Arial"/>
                <w:sz w:val="20"/>
                <w:szCs w:val="20"/>
              </w:rPr>
            </w:pPr>
            <w:r w:rsidRPr="00C56304">
              <w:rPr>
                <w:rFonts w:cs="Arial"/>
                <w:sz w:val="20"/>
                <w:szCs w:val="20"/>
              </w:rPr>
              <w:t xml:space="preserve">Similar residential requirements to those for an HRWL apply to Registration of Plant Designs and Items of Plant (WHS r. 256(2)(i)) and Licensing of Asbestos Removalists and Asbestos Assessors (WHS r. 497(2)(c) &amp; (d)).  </w:t>
            </w:r>
          </w:p>
        </w:tc>
        <w:tc>
          <w:tcPr>
            <w:tcW w:w="2962" w:type="dxa"/>
          </w:tcPr>
          <w:p w14:paraId="72B28A76" w14:textId="77777777" w:rsidR="007E4463" w:rsidRPr="00C56304" w:rsidRDefault="007E4463" w:rsidP="00EF3DCC">
            <w:pPr>
              <w:autoSpaceDE w:val="0"/>
              <w:autoSpaceDN w:val="0"/>
              <w:adjustRightInd w:val="0"/>
              <w:spacing w:before="120" w:after="120"/>
              <w:rPr>
                <w:rFonts w:ascii="Arial" w:hAnsi="Arial" w:cs="Arial"/>
                <w:sz w:val="20"/>
                <w:szCs w:val="20"/>
              </w:rPr>
            </w:pPr>
            <w:r w:rsidRPr="00C56304">
              <w:rPr>
                <w:rFonts w:ascii="Arial" w:hAnsi="Arial" w:cs="Arial"/>
                <w:sz w:val="20"/>
                <w:szCs w:val="20"/>
              </w:rPr>
              <w:t xml:space="preserve">No equivalent.  </w:t>
            </w:r>
          </w:p>
          <w:p w14:paraId="72B28A77" w14:textId="77777777" w:rsidR="007E4463" w:rsidRPr="00C56304" w:rsidRDefault="007E4463" w:rsidP="00EF3DCC">
            <w:pPr>
              <w:autoSpaceDE w:val="0"/>
              <w:autoSpaceDN w:val="0"/>
              <w:adjustRightInd w:val="0"/>
              <w:spacing w:before="120" w:after="120"/>
              <w:rPr>
                <w:rFonts w:ascii="Arial" w:hAnsi="Arial" w:cs="Arial"/>
                <w:sz w:val="20"/>
                <w:szCs w:val="20"/>
              </w:rPr>
            </w:pPr>
            <w:r w:rsidRPr="00C56304">
              <w:rPr>
                <w:rFonts w:ascii="Arial" w:hAnsi="Arial" w:cs="Arial"/>
                <w:sz w:val="20"/>
                <w:szCs w:val="20"/>
              </w:rPr>
              <w:t xml:space="preserve">Providing the assessments are carried out in Western Australia, an HRWL can be issued by the regulator even if the applicant resides in another jurisdiction.  </w:t>
            </w:r>
          </w:p>
          <w:p w14:paraId="72B28A78" w14:textId="77777777" w:rsidR="007E4463" w:rsidRPr="00C56304" w:rsidRDefault="007E4463" w:rsidP="00EF3DCC">
            <w:pPr>
              <w:autoSpaceDE w:val="0"/>
              <w:autoSpaceDN w:val="0"/>
              <w:adjustRightInd w:val="0"/>
              <w:spacing w:before="120" w:after="120"/>
              <w:rPr>
                <w:rFonts w:ascii="Arial" w:hAnsi="Arial" w:cs="Arial"/>
                <w:color w:val="000000"/>
                <w:sz w:val="20"/>
                <w:szCs w:val="20"/>
                <w:lang w:eastAsia="en-AU"/>
              </w:rPr>
            </w:pPr>
            <w:r w:rsidRPr="00C56304">
              <w:rPr>
                <w:rFonts w:ascii="Arial" w:hAnsi="Arial" w:cs="Arial"/>
                <w:sz w:val="20"/>
                <w:szCs w:val="20"/>
              </w:rPr>
              <w:t xml:space="preserve">The HRWL applicant with a residential address outside Western Australia is also not obliged to provide a submission detailing the circumstances that justify the granting of the HRWL.   </w:t>
            </w:r>
          </w:p>
        </w:tc>
      </w:tr>
      <w:tr w:rsidR="007E4463" w:rsidRPr="00C56304" w14:paraId="72B28A7E" w14:textId="77777777" w:rsidTr="00EF3DCC">
        <w:trPr>
          <w:tblHeader/>
        </w:trPr>
        <w:tc>
          <w:tcPr>
            <w:tcW w:w="2962" w:type="dxa"/>
          </w:tcPr>
          <w:p w14:paraId="72B28A7A" w14:textId="77777777" w:rsidR="007E4463" w:rsidRPr="00C56304" w:rsidRDefault="007E4463" w:rsidP="00EF3DCC">
            <w:pPr>
              <w:pStyle w:val="Heading2"/>
              <w:numPr>
                <w:ilvl w:val="0"/>
                <w:numId w:val="37"/>
              </w:numPr>
              <w:ind w:left="455"/>
              <w:outlineLvl w:val="1"/>
              <w:rPr>
                <w:sz w:val="20"/>
                <w:szCs w:val="20"/>
              </w:rPr>
            </w:pPr>
            <w:bookmarkStart w:id="103" w:name="_Toc4661852"/>
            <w:bookmarkStart w:id="104" w:name="_Toc17104628"/>
            <w:r w:rsidRPr="00C56304">
              <w:rPr>
                <w:sz w:val="20"/>
                <w:szCs w:val="20"/>
              </w:rPr>
              <w:t>High Risk Work Licence – Reassessment of competency</w:t>
            </w:r>
            <w:bookmarkEnd w:id="103"/>
            <w:bookmarkEnd w:id="104"/>
          </w:p>
          <w:p w14:paraId="72B28A7B" w14:textId="77777777" w:rsidR="007E4463" w:rsidRPr="00C56304" w:rsidRDefault="007E4463" w:rsidP="00EF3DCC">
            <w:pPr>
              <w:pStyle w:val="Heading2"/>
              <w:ind w:left="455"/>
              <w:outlineLvl w:val="1"/>
              <w:rPr>
                <w:sz w:val="20"/>
                <w:szCs w:val="20"/>
              </w:rPr>
            </w:pPr>
          </w:p>
        </w:tc>
        <w:tc>
          <w:tcPr>
            <w:tcW w:w="3365" w:type="dxa"/>
          </w:tcPr>
          <w:p w14:paraId="72B28A7C" w14:textId="77777777" w:rsidR="007E4463" w:rsidRPr="00C56304" w:rsidRDefault="007E4463" w:rsidP="00EF3DCC">
            <w:pPr>
              <w:pStyle w:val="NoSpacing"/>
              <w:jc w:val="left"/>
              <w:rPr>
                <w:rFonts w:cs="Arial"/>
                <w:sz w:val="20"/>
                <w:szCs w:val="20"/>
              </w:rPr>
            </w:pPr>
            <w:r w:rsidRPr="00C56304">
              <w:rPr>
                <w:rFonts w:cs="Arial"/>
                <w:sz w:val="20"/>
                <w:szCs w:val="20"/>
              </w:rPr>
              <w:t>R. 95 provides the regulator with the power to direct the holder of an HRWL to obtain a reassessment of competency.</w:t>
            </w:r>
          </w:p>
        </w:tc>
        <w:tc>
          <w:tcPr>
            <w:tcW w:w="2962" w:type="dxa"/>
          </w:tcPr>
          <w:p w14:paraId="72B28A7D" w14:textId="024683F3" w:rsidR="007E4463" w:rsidRPr="00C56304" w:rsidRDefault="007E4463" w:rsidP="00EF3DCC">
            <w:pPr>
              <w:autoSpaceDE w:val="0"/>
              <w:autoSpaceDN w:val="0"/>
              <w:adjustRightInd w:val="0"/>
              <w:spacing w:before="120" w:after="120"/>
              <w:rPr>
                <w:rFonts w:ascii="Arial" w:hAnsi="Arial" w:cs="Arial"/>
                <w:color w:val="000000"/>
                <w:sz w:val="20"/>
                <w:szCs w:val="20"/>
                <w:lang w:eastAsia="en-AU"/>
              </w:rPr>
            </w:pPr>
            <w:r w:rsidRPr="00C56304">
              <w:rPr>
                <w:rFonts w:ascii="Arial" w:hAnsi="Arial" w:cs="Arial"/>
                <w:sz w:val="20"/>
                <w:szCs w:val="20"/>
              </w:rPr>
              <w:t>The power provided in regulation 6.17(1) is more specific as it requires provision of the notice of assessment within a specified time</w:t>
            </w:r>
            <w:r w:rsidR="00E34F17">
              <w:rPr>
                <w:rFonts w:ascii="Arial" w:hAnsi="Arial" w:cs="Arial"/>
                <w:sz w:val="20"/>
                <w:szCs w:val="20"/>
              </w:rPr>
              <w:t>.</w:t>
            </w:r>
          </w:p>
        </w:tc>
      </w:tr>
      <w:tr w:rsidR="007E4463" w:rsidRPr="00C56304" w14:paraId="72B28A83" w14:textId="77777777" w:rsidTr="00EF3DCC">
        <w:trPr>
          <w:tblHeader/>
        </w:trPr>
        <w:tc>
          <w:tcPr>
            <w:tcW w:w="2962" w:type="dxa"/>
          </w:tcPr>
          <w:p w14:paraId="72B28A7F" w14:textId="77777777" w:rsidR="007E4463" w:rsidRPr="00C56304" w:rsidRDefault="007E4463" w:rsidP="00EF3DCC">
            <w:pPr>
              <w:pStyle w:val="Heading2"/>
              <w:numPr>
                <w:ilvl w:val="0"/>
                <w:numId w:val="37"/>
              </w:numPr>
              <w:ind w:left="455"/>
              <w:outlineLvl w:val="1"/>
              <w:rPr>
                <w:sz w:val="20"/>
                <w:szCs w:val="20"/>
              </w:rPr>
            </w:pPr>
            <w:bookmarkStart w:id="105" w:name="_Toc4661853"/>
            <w:bookmarkStart w:id="106" w:name="_Toc17104629"/>
            <w:r w:rsidRPr="00C56304">
              <w:rPr>
                <w:sz w:val="20"/>
                <w:szCs w:val="20"/>
              </w:rPr>
              <w:t>High risk work licence – Grace period for renewal</w:t>
            </w:r>
            <w:bookmarkEnd w:id="105"/>
            <w:bookmarkEnd w:id="106"/>
          </w:p>
          <w:p w14:paraId="72B28A80" w14:textId="77777777" w:rsidR="007E4463" w:rsidRPr="00C56304" w:rsidRDefault="007E4463" w:rsidP="00EF3DCC">
            <w:pPr>
              <w:pStyle w:val="Heading2"/>
              <w:ind w:left="455"/>
              <w:outlineLvl w:val="1"/>
              <w:rPr>
                <w:sz w:val="20"/>
                <w:szCs w:val="20"/>
              </w:rPr>
            </w:pPr>
          </w:p>
        </w:tc>
        <w:tc>
          <w:tcPr>
            <w:tcW w:w="3365" w:type="dxa"/>
          </w:tcPr>
          <w:p w14:paraId="72B28A81" w14:textId="27916C30" w:rsidR="007E4463" w:rsidRPr="00C56304" w:rsidRDefault="007E4463" w:rsidP="00E34F17">
            <w:pPr>
              <w:pStyle w:val="NoSpacing"/>
              <w:jc w:val="left"/>
              <w:rPr>
                <w:rFonts w:cs="Arial"/>
                <w:sz w:val="20"/>
                <w:szCs w:val="20"/>
              </w:rPr>
            </w:pPr>
            <w:r w:rsidRPr="00C56304">
              <w:rPr>
                <w:rFonts w:cs="Arial"/>
                <w:sz w:val="20"/>
                <w:szCs w:val="20"/>
              </w:rPr>
              <w:t xml:space="preserve">Regulations </w:t>
            </w:r>
            <w:r w:rsidRPr="00C56304">
              <w:rPr>
                <w:rFonts w:eastAsia="Times New Roman" w:cs="Arial"/>
                <w:color w:val="000000"/>
                <w:sz w:val="20"/>
                <w:szCs w:val="20"/>
                <w:lang w:eastAsia="en-AU"/>
              </w:rPr>
              <w:t xml:space="preserve">101(4); 102; and 103 </w:t>
            </w:r>
            <w:r w:rsidRPr="00C56304">
              <w:rPr>
                <w:rFonts w:cs="Arial"/>
                <w:sz w:val="20"/>
                <w:szCs w:val="20"/>
              </w:rPr>
              <w:t xml:space="preserve">permit HRWLs to be renewed up to 12 months after the expiry date in exceptional circumstances.  </w:t>
            </w:r>
          </w:p>
        </w:tc>
        <w:tc>
          <w:tcPr>
            <w:tcW w:w="2962" w:type="dxa"/>
          </w:tcPr>
          <w:p w14:paraId="72B28A82" w14:textId="77777777" w:rsidR="007E4463" w:rsidRPr="00C56304" w:rsidRDefault="007E4463" w:rsidP="00EF3DCC">
            <w:pPr>
              <w:autoSpaceDE w:val="0"/>
              <w:autoSpaceDN w:val="0"/>
              <w:adjustRightInd w:val="0"/>
              <w:spacing w:before="120" w:after="120"/>
              <w:rPr>
                <w:rFonts w:ascii="Arial" w:hAnsi="Arial" w:cs="Arial"/>
                <w:color w:val="000000"/>
                <w:sz w:val="20"/>
                <w:szCs w:val="20"/>
                <w:lang w:eastAsia="en-AU"/>
              </w:rPr>
            </w:pPr>
            <w:r w:rsidRPr="00C56304">
              <w:rPr>
                <w:rFonts w:ascii="Arial" w:hAnsi="Arial" w:cs="Arial"/>
                <w:sz w:val="20"/>
                <w:szCs w:val="20"/>
              </w:rPr>
              <w:t>R. 6.9(1) provides a 24-month grace period for renewal of a high risk work licence with no exceptional circumstances.</w:t>
            </w:r>
          </w:p>
        </w:tc>
      </w:tr>
      <w:tr w:rsidR="007E4463" w:rsidRPr="00C56304" w14:paraId="72B28A88" w14:textId="77777777" w:rsidTr="00EF3DCC">
        <w:trPr>
          <w:tblHeader/>
        </w:trPr>
        <w:tc>
          <w:tcPr>
            <w:tcW w:w="2962" w:type="dxa"/>
          </w:tcPr>
          <w:p w14:paraId="72B28A84" w14:textId="77777777" w:rsidR="007E4463" w:rsidRPr="00C56304" w:rsidRDefault="007E4463" w:rsidP="00EF3DCC">
            <w:pPr>
              <w:pStyle w:val="Heading2"/>
              <w:numPr>
                <w:ilvl w:val="0"/>
                <w:numId w:val="37"/>
              </w:numPr>
              <w:ind w:left="455"/>
              <w:outlineLvl w:val="1"/>
              <w:rPr>
                <w:sz w:val="20"/>
                <w:szCs w:val="20"/>
                <w:lang w:val="en-US"/>
              </w:rPr>
            </w:pPr>
            <w:bookmarkStart w:id="107" w:name="_Toc451257375"/>
            <w:bookmarkStart w:id="108" w:name="_Toc451422094"/>
            <w:bookmarkStart w:id="109" w:name="_Toc451437307"/>
            <w:bookmarkStart w:id="110" w:name="_Toc4661854"/>
            <w:bookmarkStart w:id="111" w:name="_Toc17104630"/>
            <w:r w:rsidRPr="00C56304">
              <w:rPr>
                <w:sz w:val="20"/>
                <w:szCs w:val="20"/>
                <w:lang w:val="en-US"/>
              </w:rPr>
              <w:t>English language requirements</w:t>
            </w:r>
            <w:bookmarkEnd w:id="107"/>
            <w:bookmarkEnd w:id="108"/>
            <w:bookmarkEnd w:id="109"/>
            <w:bookmarkEnd w:id="110"/>
            <w:bookmarkEnd w:id="111"/>
          </w:p>
          <w:p w14:paraId="72B28A85" w14:textId="77777777" w:rsidR="007E4463" w:rsidRPr="00C56304" w:rsidRDefault="007E4463" w:rsidP="00EF3DCC">
            <w:pPr>
              <w:pStyle w:val="Heading2"/>
              <w:ind w:left="455"/>
              <w:outlineLvl w:val="1"/>
              <w:rPr>
                <w:sz w:val="20"/>
                <w:szCs w:val="20"/>
              </w:rPr>
            </w:pPr>
          </w:p>
        </w:tc>
        <w:tc>
          <w:tcPr>
            <w:tcW w:w="3365" w:type="dxa"/>
          </w:tcPr>
          <w:p w14:paraId="72B28A86" w14:textId="77777777" w:rsidR="007E4463" w:rsidRPr="00C56304" w:rsidRDefault="007E4463" w:rsidP="00EF3DCC">
            <w:pPr>
              <w:pStyle w:val="NoSpacing"/>
              <w:jc w:val="left"/>
              <w:rPr>
                <w:rFonts w:cs="Arial"/>
                <w:sz w:val="20"/>
                <w:szCs w:val="20"/>
                <w:lang w:val="en-US"/>
              </w:rPr>
            </w:pPr>
            <w:r w:rsidRPr="00C56304">
              <w:rPr>
                <w:rFonts w:cs="Arial"/>
                <w:sz w:val="20"/>
                <w:szCs w:val="20"/>
                <w:lang w:val="en-US"/>
              </w:rPr>
              <w:t xml:space="preserve">R. 114 requires an accredited assessor to act in accordance with their accreditation which includes the conditions of accreditation.  Regulation 121 of the model WHS regulations provides authority for the regulator to impose conditions.  Under these provisions, it is assumed that the regulator </w:t>
            </w:r>
            <w:r w:rsidRPr="00C56304">
              <w:rPr>
                <w:rFonts w:eastAsiaTheme="majorEastAsia" w:cs="Arial"/>
                <w:sz w:val="20"/>
                <w:szCs w:val="20"/>
              </w:rPr>
              <w:t xml:space="preserve">will have the authority to administratively impose a condition, similar to the r. 6.20(2)(d) of the OSH regulations, requiring sufficient knowledge of the English language.   </w:t>
            </w:r>
          </w:p>
        </w:tc>
        <w:tc>
          <w:tcPr>
            <w:tcW w:w="2962" w:type="dxa"/>
          </w:tcPr>
          <w:p w14:paraId="72B28A87" w14:textId="77777777" w:rsidR="007E4463" w:rsidRPr="00C56304" w:rsidRDefault="007E4463" w:rsidP="00EF3DCC">
            <w:pPr>
              <w:autoSpaceDE w:val="0"/>
              <w:autoSpaceDN w:val="0"/>
              <w:adjustRightInd w:val="0"/>
              <w:spacing w:before="120" w:after="120"/>
              <w:rPr>
                <w:rFonts w:ascii="Arial" w:hAnsi="Arial" w:cs="Arial"/>
                <w:color w:val="000000"/>
                <w:sz w:val="20"/>
                <w:szCs w:val="20"/>
                <w:lang w:eastAsia="en-AU"/>
              </w:rPr>
            </w:pPr>
            <w:r w:rsidRPr="00C56304">
              <w:rPr>
                <w:rFonts w:ascii="Arial" w:hAnsi="Arial" w:cs="Arial"/>
                <w:sz w:val="20"/>
                <w:szCs w:val="20"/>
                <w:lang w:val="en-US"/>
              </w:rPr>
              <w:t xml:space="preserve">R. 6.20(2)(d) includes an English language requirement as part of a notice of satisfactory assessment.  </w:t>
            </w:r>
          </w:p>
        </w:tc>
      </w:tr>
      <w:tr w:rsidR="007E4463" w:rsidRPr="00C56304" w14:paraId="72B28A95" w14:textId="77777777" w:rsidTr="00EF3DCC">
        <w:trPr>
          <w:tblHeader/>
        </w:trPr>
        <w:tc>
          <w:tcPr>
            <w:tcW w:w="2962" w:type="dxa"/>
          </w:tcPr>
          <w:p w14:paraId="72B28A89" w14:textId="77777777" w:rsidR="007E4463" w:rsidRPr="00C56304" w:rsidRDefault="007E4463" w:rsidP="00EF3DCC">
            <w:pPr>
              <w:pStyle w:val="Heading2"/>
              <w:numPr>
                <w:ilvl w:val="0"/>
                <w:numId w:val="37"/>
              </w:numPr>
              <w:ind w:left="455"/>
              <w:outlineLvl w:val="1"/>
              <w:rPr>
                <w:sz w:val="20"/>
                <w:szCs w:val="20"/>
              </w:rPr>
            </w:pPr>
            <w:bookmarkStart w:id="112" w:name="_Toc451257368"/>
            <w:bookmarkStart w:id="113" w:name="_Toc451422087"/>
            <w:bookmarkStart w:id="114" w:name="_Toc451437300"/>
            <w:bookmarkStart w:id="115" w:name="_Toc4661855"/>
            <w:bookmarkStart w:id="116" w:name="_Toc17104631"/>
            <w:r w:rsidRPr="00C56304">
              <w:rPr>
                <w:sz w:val="20"/>
                <w:szCs w:val="20"/>
              </w:rPr>
              <w:t>Concrete placing booms</w:t>
            </w:r>
            <w:bookmarkEnd w:id="112"/>
            <w:bookmarkEnd w:id="113"/>
            <w:bookmarkEnd w:id="114"/>
            <w:r w:rsidRPr="00C56304">
              <w:rPr>
                <w:sz w:val="20"/>
                <w:szCs w:val="20"/>
              </w:rPr>
              <w:t xml:space="preserve"> - HRWL</w:t>
            </w:r>
            <w:bookmarkEnd w:id="115"/>
            <w:bookmarkEnd w:id="116"/>
          </w:p>
          <w:p w14:paraId="72B28A8A" w14:textId="77777777" w:rsidR="007E4463" w:rsidRPr="00C56304" w:rsidRDefault="007E4463" w:rsidP="00EF3DCC">
            <w:pPr>
              <w:pStyle w:val="Heading2"/>
              <w:ind w:left="455"/>
              <w:outlineLvl w:val="1"/>
              <w:rPr>
                <w:sz w:val="20"/>
                <w:szCs w:val="20"/>
              </w:rPr>
            </w:pPr>
          </w:p>
        </w:tc>
        <w:tc>
          <w:tcPr>
            <w:tcW w:w="3365" w:type="dxa"/>
          </w:tcPr>
          <w:p w14:paraId="72B28A8B" w14:textId="77777777" w:rsidR="007E4463" w:rsidRPr="00C56304" w:rsidRDefault="007E4463" w:rsidP="00EF3DCC">
            <w:pPr>
              <w:pStyle w:val="NoSpacing"/>
              <w:jc w:val="left"/>
              <w:rPr>
                <w:rFonts w:cs="Arial"/>
                <w:sz w:val="20"/>
                <w:szCs w:val="20"/>
              </w:rPr>
            </w:pPr>
            <w:r w:rsidRPr="00C56304">
              <w:rPr>
                <w:rFonts w:cs="Arial"/>
                <w:sz w:val="20"/>
                <w:szCs w:val="20"/>
              </w:rPr>
              <w:t>Concrete placing boom is defined in r. 5 as:</w:t>
            </w:r>
          </w:p>
          <w:p w14:paraId="72B28A8C" w14:textId="77777777" w:rsidR="007E4463" w:rsidRPr="00C56304" w:rsidRDefault="007E4463" w:rsidP="00EF3DCC">
            <w:pPr>
              <w:pStyle w:val="NoSpacing"/>
              <w:ind w:left="334"/>
              <w:jc w:val="left"/>
              <w:rPr>
                <w:rFonts w:cs="Arial"/>
                <w:sz w:val="20"/>
                <w:szCs w:val="20"/>
              </w:rPr>
            </w:pPr>
            <w:r w:rsidRPr="00C56304">
              <w:rPr>
                <w:rFonts w:cs="Arial"/>
                <w:sz w:val="20"/>
                <w:szCs w:val="20"/>
              </w:rPr>
              <w:t xml:space="preserve">meaning plant incorporating an articulating boom, capable of power operated slewing and luffing to place concrete by way of pumping through a pipeline attached to, or forming part of, the boom of the plant. </w:t>
            </w:r>
          </w:p>
          <w:p w14:paraId="72B28A8D" w14:textId="77777777" w:rsidR="007E4463" w:rsidRPr="00C56304" w:rsidRDefault="007E4463" w:rsidP="00EF3DCC">
            <w:pPr>
              <w:pStyle w:val="NoSpacing"/>
              <w:jc w:val="left"/>
              <w:rPr>
                <w:rFonts w:cs="Arial"/>
                <w:sz w:val="20"/>
                <w:szCs w:val="20"/>
              </w:rPr>
            </w:pPr>
            <w:r w:rsidRPr="00C56304">
              <w:rPr>
                <w:rFonts w:cs="Arial"/>
                <w:sz w:val="20"/>
                <w:szCs w:val="20"/>
              </w:rPr>
              <w:t xml:space="preserve">As a result of being listed in Schedule 3, an HRWL is required for mobile and static concrete placing booms. </w:t>
            </w:r>
          </w:p>
          <w:p w14:paraId="72B28A8E" w14:textId="77777777" w:rsidR="007E4463" w:rsidRPr="00C56304" w:rsidRDefault="007E4463" w:rsidP="00EF3DCC">
            <w:pPr>
              <w:pStyle w:val="NoSpacing"/>
              <w:jc w:val="left"/>
              <w:rPr>
                <w:rFonts w:cs="Arial"/>
                <w:sz w:val="20"/>
                <w:szCs w:val="20"/>
              </w:rPr>
            </w:pPr>
            <w:r w:rsidRPr="00C56304">
              <w:rPr>
                <w:rFonts w:cs="Arial"/>
                <w:sz w:val="20"/>
                <w:szCs w:val="20"/>
              </w:rPr>
              <w:lastRenderedPageBreak/>
              <w:t>No provisions in the WHS regulations deal with the transition to include the additional types of concrete placing booms that will require an HRWL.</w:t>
            </w:r>
          </w:p>
        </w:tc>
        <w:tc>
          <w:tcPr>
            <w:tcW w:w="2962" w:type="dxa"/>
          </w:tcPr>
          <w:p w14:paraId="72B28A8F" w14:textId="77777777" w:rsidR="007E4463" w:rsidRPr="00C56304" w:rsidRDefault="007E4463" w:rsidP="00EF3DCC">
            <w:pPr>
              <w:pStyle w:val="NoSpacing"/>
              <w:jc w:val="left"/>
              <w:rPr>
                <w:rFonts w:cs="Arial"/>
                <w:sz w:val="20"/>
                <w:szCs w:val="20"/>
              </w:rPr>
            </w:pPr>
            <w:r w:rsidRPr="00C56304">
              <w:rPr>
                <w:rFonts w:cs="Arial"/>
                <w:sz w:val="20"/>
                <w:szCs w:val="20"/>
              </w:rPr>
              <w:lastRenderedPageBreak/>
              <w:t>An HRWL is required for “vehicle-mounted concrete placing boom” which is defined in Schedule 6.2, Division 4 as:</w:t>
            </w:r>
          </w:p>
          <w:p w14:paraId="72B28A90" w14:textId="77777777" w:rsidR="007E4463" w:rsidRPr="00C56304" w:rsidRDefault="007E4463" w:rsidP="00EF3DCC">
            <w:pPr>
              <w:autoSpaceDE w:val="0"/>
              <w:autoSpaceDN w:val="0"/>
              <w:adjustRightInd w:val="0"/>
              <w:spacing w:before="120" w:after="120"/>
              <w:rPr>
                <w:rFonts w:ascii="Arial" w:hAnsi="Arial" w:cs="Arial"/>
                <w:sz w:val="20"/>
                <w:szCs w:val="20"/>
              </w:rPr>
            </w:pPr>
            <w:r w:rsidRPr="00C56304">
              <w:rPr>
                <w:rFonts w:ascii="Arial" w:hAnsi="Arial" w:cs="Arial"/>
                <w:sz w:val="20"/>
                <w:szCs w:val="20"/>
              </w:rPr>
              <w:t>meaning a boom —</w:t>
            </w:r>
          </w:p>
          <w:p w14:paraId="72B28A91" w14:textId="77777777" w:rsidR="007E4463" w:rsidRPr="00C56304" w:rsidRDefault="007E4463" w:rsidP="00EF3DCC">
            <w:pPr>
              <w:autoSpaceDE w:val="0"/>
              <w:autoSpaceDN w:val="0"/>
              <w:adjustRightInd w:val="0"/>
              <w:spacing w:before="120" w:after="120"/>
              <w:ind w:left="396" w:hanging="377"/>
              <w:rPr>
                <w:rFonts w:ascii="Arial" w:hAnsi="Arial" w:cs="Arial"/>
                <w:sz w:val="20"/>
                <w:szCs w:val="20"/>
              </w:rPr>
            </w:pPr>
            <w:r w:rsidRPr="00C56304">
              <w:rPr>
                <w:rFonts w:ascii="Arial" w:hAnsi="Arial" w:cs="Arial"/>
                <w:sz w:val="20"/>
                <w:szCs w:val="20"/>
              </w:rPr>
              <w:t>(a)</w:t>
            </w:r>
            <w:r w:rsidRPr="00C56304">
              <w:rPr>
                <w:rFonts w:ascii="Arial" w:hAnsi="Arial" w:cs="Arial"/>
                <w:sz w:val="20"/>
                <w:szCs w:val="20"/>
              </w:rPr>
              <w:tab/>
              <w:t>with 2 or more stages; and</w:t>
            </w:r>
          </w:p>
          <w:p w14:paraId="72B28A92" w14:textId="77777777" w:rsidR="007E4463" w:rsidRPr="00C56304" w:rsidRDefault="007E4463" w:rsidP="00EF3DCC">
            <w:pPr>
              <w:autoSpaceDE w:val="0"/>
              <w:autoSpaceDN w:val="0"/>
              <w:adjustRightInd w:val="0"/>
              <w:spacing w:before="120" w:after="120"/>
              <w:ind w:left="396" w:hanging="377"/>
              <w:rPr>
                <w:rFonts w:ascii="Arial" w:hAnsi="Arial" w:cs="Arial"/>
                <w:sz w:val="20"/>
                <w:szCs w:val="20"/>
              </w:rPr>
            </w:pPr>
            <w:r w:rsidRPr="00C56304">
              <w:rPr>
                <w:rFonts w:ascii="Arial" w:hAnsi="Arial" w:cs="Arial"/>
                <w:sz w:val="20"/>
                <w:szCs w:val="20"/>
              </w:rPr>
              <w:t>(b)</w:t>
            </w:r>
            <w:r w:rsidRPr="00C56304">
              <w:rPr>
                <w:rFonts w:ascii="Arial" w:hAnsi="Arial" w:cs="Arial"/>
                <w:sz w:val="20"/>
                <w:szCs w:val="20"/>
              </w:rPr>
              <w:tab/>
              <w:t>mounted on a vehicle; and</w:t>
            </w:r>
          </w:p>
          <w:p w14:paraId="72B28A93" w14:textId="77777777" w:rsidR="007E4463" w:rsidRPr="00C56304" w:rsidRDefault="007E4463" w:rsidP="00EF3DCC">
            <w:pPr>
              <w:autoSpaceDE w:val="0"/>
              <w:autoSpaceDN w:val="0"/>
              <w:adjustRightInd w:val="0"/>
              <w:spacing w:before="120" w:after="120"/>
              <w:ind w:left="396" w:hanging="377"/>
              <w:rPr>
                <w:rFonts w:ascii="Arial" w:hAnsi="Arial" w:cs="Arial"/>
                <w:sz w:val="20"/>
                <w:szCs w:val="20"/>
              </w:rPr>
            </w:pPr>
            <w:r w:rsidRPr="00C56304">
              <w:rPr>
                <w:rFonts w:ascii="Arial" w:hAnsi="Arial" w:cs="Arial"/>
                <w:sz w:val="20"/>
                <w:szCs w:val="20"/>
              </w:rPr>
              <w:t>(c)</w:t>
            </w:r>
            <w:r w:rsidRPr="00C56304">
              <w:rPr>
                <w:rFonts w:ascii="Arial" w:hAnsi="Arial" w:cs="Arial"/>
                <w:sz w:val="20"/>
                <w:szCs w:val="20"/>
              </w:rPr>
              <w:tab/>
              <w:t>able to be slewed or luffed; and</w:t>
            </w:r>
          </w:p>
          <w:p w14:paraId="72B28A94" w14:textId="77777777" w:rsidR="007E4463" w:rsidRPr="00C56304" w:rsidRDefault="007E4463" w:rsidP="00EF3DCC">
            <w:pPr>
              <w:autoSpaceDE w:val="0"/>
              <w:autoSpaceDN w:val="0"/>
              <w:adjustRightInd w:val="0"/>
              <w:spacing w:before="120" w:after="120"/>
              <w:ind w:left="396" w:hanging="377"/>
              <w:rPr>
                <w:rFonts w:ascii="Arial" w:hAnsi="Arial" w:cs="Arial"/>
                <w:sz w:val="20"/>
                <w:szCs w:val="20"/>
              </w:rPr>
            </w:pPr>
            <w:r w:rsidRPr="00C56304">
              <w:rPr>
                <w:rFonts w:ascii="Arial" w:hAnsi="Arial" w:cs="Arial"/>
                <w:sz w:val="20"/>
                <w:szCs w:val="20"/>
              </w:rPr>
              <w:t>(d)</w:t>
            </w:r>
            <w:r w:rsidRPr="00C56304">
              <w:rPr>
                <w:rFonts w:ascii="Arial" w:hAnsi="Arial" w:cs="Arial"/>
                <w:sz w:val="20"/>
                <w:szCs w:val="20"/>
              </w:rPr>
              <w:tab/>
              <w:t xml:space="preserve">along which concrete is pumped by means of a </w:t>
            </w:r>
            <w:r w:rsidRPr="00C56304">
              <w:rPr>
                <w:rFonts w:ascii="Arial" w:hAnsi="Arial" w:cs="Arial"/>
                <w:sz w:val="20"/>
                <w:szCs w:val="20"/>
              </w:rPr>
              <w:lastRenderedPageBreak/>
              <w:t xml:space="preserve">pipe attached to, or incorporated within, the boom.  </w:t>
            </w:r>
          </w:p>
        </w:tc>
      </w:tr>
      <w:tr w:rsidR="00414A96" w:rsidRPr="00C56304" w14:paraId="1D382F5B" w14:textId="77777777" w:rsidTr="00EF3DCC">
        <w:trPr>
          <w:tblHeader/>
        </w:trPr>
        <w:tc>
          <w:tcPr>
            <w:tcW w:w="2962" w:type="dxa"/>
          </w:tcPr>
          <w:p w14:paraId="622060F9" w14:textId="404970CB" w:rsidR="00414A96" w:rsidRPr="00C56304" w:rsidRDefault="00414A96" w:rsidP="00EF3DCC">
            <w:pPr>
              <w:pStyle w:val="Heading2"/>
              <w:numPr>
                <w:ilvl w:val="0"/>
                <w:numId w:val="37"/>
              </w:numPr>
              <w:ind w:left="455"/>
              <w:outlineLvl w:val="1"/>
              <w:rPr>
                <w:sz w:val="20"/>
                <w:szCs w:val="20"/>
              </w:rPr>
            </w:pPr>
            <w:bookmarkStart w:id="117" w:name="_Toc17104632"/>
            <w:r w:rsidRPr="00414A96">
              <w:rPr>
                <w:sz w:val="20"/>
                <w:szCs w:val="20"/>
              </w:rPr>
              <w:lastRenderedPageBreak/>
              <w:t>Forklift truck - HRWL</w:t>
            </w:r>
            <w:bookmarkEnd w:id="117"/>
          </w:p>
        </w:tc>
        <w:tc>
          <w:tcPr>
            <w:tcW w:w="3365" w:type="dxa"/>
          </w:tcPr>
          <w:p w14:paraId="0F351E4E" w14:textId="172DC0F9" w:rsidR="00414A96" w:rsidRPr="00C56304" w:rsidRDefault="00414A96" w:rsidP="00EF3DCC">
            <w:pPr>
              <w:pStyle w:val="NoSpacing"/>
              <w:jc w:val="left"/>
              <w:rPr>
                <w:rFonts w:cs="Arial"/>
                <w:sz w:val="20"/>
                <w:szCs w:val="20"/>
              </w:rPr>
            </w:pPr>
            <w:r w:rsidRPr="00414A96">
              <w:rPr>
                <w:rFonts w:cs="Arial"/>
                <w:sz w:val="20"/>
                <w:szCs w:val="20"/>
              </w:rPr>
              <w:t>The model WHS regulations define</w:t>
            </w:r>
            <w:r w:rsidR="00E34F17">
              <w:rPr>
                <w:rFonts w:cs="Arial"/>
                <w:sz w:val="20"/>
                <w:szCs w:val="20"/>
              </w:rPr>
              <w:t xml:space="preserve"> a</w:t>
            </w:r>
            <w:r w:rsidRPr="00414A96">
              <w:rPr>
                <w:rFonts w:cs="Arial"/>
                <w:sz w:val="20"/>
                <w:szCs w:val="20"/>
              </w:rPr>
              <w:t xml:space="preserve"> forklift truck for the purposes of HRWLs to mean “a powered industrial truck equipped with lifting media made up of a mast and an elevating load carriage to which is attached a pair of fork arms or other arms that can be raised 900mm or more above the ground, but does not include a pedestrian-operated truck or a pallet truck.”</w:t>
            </w:r>
          </w:p>
        </w:tc>
        <w:tc>
          <w:tcPr>
            <w:tcW w:w="2962" w:type="dxa"/>
          </w:tcPr>
          <w:p w14:paraId="28248526" w14:textId="77777777" w:rsidR="00414A96" w:rsidRPr="00414A96" w:rsidRDefault="00414A96" w:rsidP="00EF3DCC">
            <w:pPr>
              <w:autoSpaceDE w:val="0"/>
              <w:autoSpaceDN w:val="0"/>
              <w:adjustRightInd w:val="0"/>
              <w:spacing w:after="120"/>
              <w:rPr>
                <w:rFonts w:ascii="Arial" w:eastAsiaTheme="minorHAnsi" w:hAnsi="Arial" w:cs="Arial"/>
                <w:sz w:val="20"/>
                <w:szCs w:val="20"/>
              </w:rPr>
            </w:pPr>
            <w:r w:rsidRPr="00414A96">
              <w:rPr>
                <w:rFonts w:ascii="Arial" w:eastAsiaTheme="minorHAnsi" w:hAnsi="Arial" w:cs="Arial"/>
                <w:sz w:val="20"/>
                <w:szCs w:val="20"/>
              </w:rPr>
              <w:t xml:space="preserve">Schedule 6.3, Division 5, Cl 8 of the OSH regulations defines forklift truck to mean “a powered industrial truck equipped with lifting media made up of a mast and an elevating load carriage to which is attached a pair of forkarms”.  </w:t>
            </w:r>
          </w:p>
          <w:p w14:paraId="03D854C1" w14:textId="1C14C2DF" w:rsidR="00414A96" w:rsidRPr="00C56304" w:rsidRDefault="00414A96" w:rsidP="00EF3DCC">
            <w:pPr>
              <w:pStyle w:val="NoSpacing"/>
              <w:jc w:val="left"/>
              <w:rPr>
                <w:rFonts w:cs="Arial"/>
                <w:sz w:val="20"/>
                <w:szCs w:val="20"/>
              </w:rPr>
            </w:pPr>
            <w:r w:rsidRPr="00414A96">
              <w:rPr>
                <w:rFonts w:cs="Arial"/>
                <w:sz w:val="20"/>
                <w:szCs w:val="20"/>
              </w:rPr>
              <w:t>Where the definition in the OSH regulations is limited to “a pair of forkarms”, the WHS regulations include “other arms that can be raised 900mm or more above the ground”.  This change may also have consequences for Order picking forklift truck HRWLs.</w:t>
            </w:r>
          </w:p>
        </w:tc>
      </w:tr>
      <w:tr w:rsidR="00414A96" w:rsidRPr="00C56304" w14:paraId="72B28A9C" w14:textId="77777777" w:rsidTr="00EF3DCC">
        <w:trPr>
          <w:tblHeader/>
        </w:trPr>
        <w:tc>
          <w:tcPr>
            <w:tcW w:w="2962" w:type="dxa"/>
          </w:tcPr>
          <w:p w14:paraId="72B28A96" w14:textId="77777777" w:rsidR="00414A96" w:rsidRPr="00C56304" w:rsidRDefault="00414A96" w:rsidP="00EF3DCC">
            <w:pPr>
              <w:pStyle w:val="Heading2"/>
              <w:numPr>
                <w:ilvl w:val="0"/>
                <w:numId w:val="37"/>
              </w:numPr>
              <w:ind w:left="455"/>
              <w:outlineLvl w:val="1"/>
              <w:rPr>
                <w:sz w:val="20"/>
                <w:szCs w:val="20"/>
              </w:rPr>
            </w:pPr>
            <w:bookmarkStart w:id="118" w:name="_Toc451257371"/>
            <w:bookmarkStart w:id="119" w:name="_Toc451422090"/>
            <w:bookmarkStart w:id="120" w:name="_Toc451437303"/>
            <w:bookmarkStart w:id="121" w:name="_Toc4661856"/>
            <w:bookmarkStart w:id="122" w:name="_Toc17104633"/>
            <w:r w:rsidRPr="00C56304">
              <w:rPr>
                <w:sz w:val="20"/>
                <w:szCs w:val="20"/>
              </w:rPr>
              <w:t>Reach stackers</w:t>
            </w:r>
            <w:bookmarkEnd w:id="118"/>
            <w:bookmarkEnd w:id="119"/>
            <w:bookmarkEnd w:id="120"/>
            <w:r w:rsidRPr="00C56304">
              <w:rPr>
                <w:sz w:val="20"/>
                <w:szCs w:val="20"/>
              </w:rPr>
              <w:t xml:space="preserve"> – HRWL</w:t>
            </w:r>
            <w:bookmarkEnd w:id="121"/>
            <w:bookmarkEnd w:id="122"/>
            <w:r w:rsidRPr="00C56304">
              <w:rPr>
                <w:sz w:val="20"/>
                <w:szCs w:val="20"/>
              </w:rPr>
              <w:t xml:space="preserve"> </w:t>
            </w:r>
          </w:p>
          <w:p w14:paraId="72B28A97" w14:textId="77777777" w:rsidR="00414A96" w:rsidRPr="00C56304" w:rsidRDefault="00414A96" w:rsidP="00EF3DCC">
            <w:pPr>
              <w:pStyle w:val="Heading2"/>
              <w:ind w:left="455"/>
              <w:outlineLvl w:val="1"/>
              <w:rPr>
                <w:sz w:val="20"/>
                <w:szCs w:val="20"/>
              </w:rPr>
            </w:pPr>
          </w:p>
        </w:tc>
        <w:tc>
          <w:tcPr>
            <w:tcW w:w="3365" w:type="dxa"/>
          </w:tcPr>
          <w:p w14:paraId="72B28A98" w14:textId="77777777" w:rsidR="00414A96" w:rsidRPr="00C56304" w:rsidRDefault="00414A96" w:rsidP="00EF3DCC">
            <w:pPr>
              <w:pStyle w:val="NoSpacing"/>
              <w:jc w:val="left"/>
              <w:rPr>
                <w:rFonts w:cs="Arial"/>
                <w:sz w:val="20"/>
                <w:szCs w:val="20"/>
              </w:rPr>
            </w:pPr>
            <w:r w:rsidRPr="00C56304">
              <w:rPr>
                <w:rFonts w:cs="Arial"/>
                <w:sz w:val="20"/>
                <w:szCs w:val="20"/>
              </w:rPr>
              <w:t>The model WHS regulations introduce an HRWL class for Reach stackers (</w:t>
            </w:r>
            <w:r w:rsidRPr="00C56304">
              <w:rPr>
                <w:rFonts w:eastAsia="Times New Roman" w:cs="Arial"/>
                <w:color w:val="000000"/>
                <w:sz w:val="20"/>
                <w:szCs w:val="20"/>
                <w:lang w:eastAsia="en-AU"/>
              </w:rPr>
              <w:t>Schedule 3 item 23; Schedule 4 item 23)</w:t>
            </w:r>
            <w:r w:rsidRPr="00C56304">
              <w:rPr>
                <w:rFonts w:cs="Arial"/>
                <w:sz w:val="20"/>
                <w:szCs w:val="20"/>
              </w:rPr>
              <w:t xml:space="preserve"> as defined in r. 5.  A worker with any of the HRWL classes for slewing mobile cranes may also operate a Reach stacker as the HRWL class for Reach stackers is included in the hierarchy.  </w:t>
            </w:r>
          </w:p>
          <w:p w14:paraId="72B28A99" w14:textId="6A960CC0" w:rsidR="00414A96" w:rsidRPr="00C56304" w:rsidRDefault="00414A96" w:rsidP="00EF3DCC">
            <w:pPr>
              <w:pStyle w:val="NoSpacing"/>
              <w:jc w:val="left"/>
              <w:rPr>
                <w:rFonts w:cs="Arial"/>
                <w:sz w:val="20"/>
                <w:szCs w:val="20"/>
              </w:rPr>
            </w:pPr>
            <w:r w:rsidRPr="00C56304">
              <w:rPr>
                <w:rFonts w:cs="Arial"/>
                <w:sz w:val="20"/>
                <w:szCs w:val="20"/>
              </w:rPr>
              <w:t>No provisions in the WHS regulations deal with the transition to include the Reach stackers that will require an HRWL</w:t>
            </w:r>
            <w:r w:rsidR="00E34F17">
              <w:rPr>
                <w:rFonts w:cs="Arial"/>
                <w:sz w:val="20"/>
                <w:szCs w:val="20"/>
              </w:rPr>
              <w:t>.</w:t>
            </w:r>
          </w:p>
        </w:tc>
        <w:tc>
          <w:tcPr>
            <w:tcW w:w="2962" w:type="dxa"/>
          </w:tcPr>
          <w:p w14:paraId="72B28A9A" w14:textId="77777777" w:rsidR="00414A96" w:rsidRPr="00C56304" w:rsidRDefault="00414A96" w:rsidP="00EF3DCC">
            <w:pPr>
              <w:pStyle w:val="NoSpacing"/>
              <w:jc w:val="left"/>
              <w:rPr>
                <w:rFonts w:cs="Arial"/>
                <w:sz w:val="20"/>
                <w:szCs w:val="20"/>
              </w:rPr>
            </w:pPr>
            <w:r w:rsidRPr="00C56304">
              <w:rPr>
                <w:rFonts w:cs="Arial"/>
                <w:sz w:val="20"/>
                <w:szCs w:val="20"/>
              </w:rPr>
              <w:t xml:space="preserve">There is no Reach stacker HRWL class.  </w:t>
            </w:r>
          </w:p>
          <w:p w14:paraId="72B28A9B" w14:textId="77777777" w:rsidR="00414A96" w:rsidRPr="00C56304" w:rsidRDefault="00414A96" w:rsidP="00EF3DCC">
            <w:pPr>
              <w:pStyle w:val="NoSpacing"/>
              <w:jc w:val="left"/>
              <w:rPr>
                <w:rFonts w:cs="Arial"/>
                <w:sz w:val="20"/>
                <w:szCs w:val="20"/>
              </w:rPr>
            </w:pPr>
            <w:r w:rsidRPr="00C56304">
              <w:rPr>
                <w:rFonts w:cs="Arial"/>
                <w:sz w:val="20"/>
                <w:szCs w:val="20"/>
              </w:rPr>
              <w:t>If a Reach stacker meets the definition of non-slewing mobile cranes, then an HRWL is required.</w:t>
            </w:r>
          </w:p>
        </w:tc>
      </w:tr>
      <w:tr w:rsidR="00414A96" w:rsidRPr="00C56304" w14:paraId="72B28AA9" w14:textId="77777777" w:rsidTr="00EF3DCC">
        <w:trPr>
          <w:tblHeader/>
        </w:trPr>
        <w:tc>
          <w:tcPr>
            <w:tcW w:w="2962" w:type="dxa"/>
          </w:tcPr>
          <w:p w14:paraId="72B28A9D" w14:textId="77777777" w:rsidR="00414A96" w:rsidRPr="00C56304" w:rsidRDefault="00414A96" w:rsidP="00EF3DCC">
            <w:pPr>
              <w:pStyle w:val="Heading2"/>
              <w:numPr>
                <w:ilvl w:val="0"/>
                <w:numId w:val="37"/>
              </w:numPr>
              <w:ind w:left="455"/>
              <w:outlineLvl w:val="1"/>
              <w:rPr>
                <w:sz w:val="20"/>
                <w:szCs w:val="20"/>
              </w:rPr>
            </w:pPr>
            <w:bookmarkStart w:id="123" w:name="_Toc451257370"/>
            <w:bookmarkStart w:id="124" w:name="_Toc451422089"/>
            <w:bookmarkStart w:id="125" w:name="_Toc451437302"/>
            <w:bookmarkStart w:id="126" w:name="_Toc4661857"/>
            <w:bookmarkStart w:id="127" w:name="_Toc17104634"/>
            <w:r w:rsidRPr="00C56304">
              <w:rPr>
                <w:sz w:val="20"/>
                <w:szCs w:val="20"/>
              </w:rPr>
              <w:t>Boilers – high risk work licence classes</w:t>
            </w:r>
            <w:bookmarkEnd w:id="123"/>
            <w:bookmarkEnd w:id="124"/>
            <w:bookmarkEnd w:id="125"/>
            <w:bookmarkEnd w:id="126"/>
            <w:bookmarkEnd w:id="127"/>
          </w:p>
          <w:p w14:paraId="72B28A9E" w14:textId="77777777" w:rsidR="00414A96" w:rsidRPr="00C56304" w:rsidRDefault="00414A96" w:rsidP="00EF3DCC">
            <w:pPr>
              <w:pStyle w:val="Heading2"/>
              <w:ind w:left="455"/>
              <w:outlineLvl w:val="1"/>
              <w:rPr>
                <w:sz w:val="20"/>
                <w:szCs w:val="20"/>
              </w:rPr>
            </w:pPr>
          </w:p>
        </w:tc>
        <w:tc>
          <w:tcPr>
            <w:tcW w:w="3365" w:type="dxa"/>
          </w:tcPr>
          <w:p w14:paraId="72B28A9F" w14:textId="77777777" w:rsidR="00414A96" w:rsidRPr="00C56304" w:rsidRDefault="00414A96" w:rsidP="00EF3DCC">
            <w:pPr>
              <w:pStyle w:val="NoSpacing"/>
              <w:jc w:val="left"/>
              <w:rPr>
                <w:rFonts w:cs="Arial"/>
                <w:sz w:val="20"/>
                <w:szCs w:val="20"/>
                <w:lang w:eastAsia="en-AU"/>
              </w:rPr>
            </w:pPr>
            <w:r w:rsidRPr="00C56304">
              <w:rPr>
                <w:rFonts w:cs="Arial"/>
                <w:sz w:val="20"/>
                <w:szCs w:val="20"/>
                <w:lang w:eastAsia="en-AU"/>
              </w:rPr>
              <w:t>The model WHS regulations include only two classes of HRWL for boilers:</w:t>
            </w:r>
          </w:p>
          <w:p w14:paraId="72B28AA0" w14:textId="77777777" w:rsidR="00414A96" w:rsidRPr="00C56304" w:rsidRDefault="00414A96" w:rsidP="00EF3DCC">
            <w:pPr>
              <w:pStyle w:val="NoSpacing"/>
              <w:numPr>
                <w:ilvl w:val="0"/>
                <w:numId w:val="16"/>
              </w:numPr>
              <w:jc w:val="left"/>
              <w:rPr>
                <w:rFonts w:cs="Arial"/>
                <w:sz w:val="20"/>
                <w:szCs w:val="20"/>
              </w:rPr>
            </w:pPr>
            <w:r w:rsidRPr="00C56304">
              <w:rPr>
                <w:rFonts w:cs="Arial"/>
                <w:sz w:val="20"/>
                <w:szCs w:val="20"/>
              </w:rPr>
              <w:t>standard boiler operation; and</w:t>
            </w:r>
          </w:p>
          <w:p w14:paraId="72B28AA1" w14:textId="77777777" w:rsidR="00414A96" w:rsidRPr="00C56304" w:rsidRDefault="00414A96" w:rsidP="00EF3DCC">
            <w:pPr>
              <w:pStyle w:val="NoSpacing"/>
              <w:numPr>
                <w:ilvl w:val="0"/>
                <w:numId w:val="16"/>
              </w:numPr>
              <w:jc w:val="left"/>
              <w:rPr>
                <w:rFonts w:cs="Arial"/>
                <w:sz w:val="20"/>
                <w:szCs w:val="20"/>
                <w:lang w:eastAsia="en-AU"/>
              </w:rPr>
            </w:pPr>
            <w:r w:rsidRPr="00C56304">
              <w:rPr>
                <w:rFonts w:cs="Arial"/>
                <w:sz w:val="20"/>
                <w:szCs w:val="20"/>
              </w:rPr>
              <w:t>advanced boiler operation.</w:t>
            </w:r>
          </w:p>
          <w:p w14:paraId="72B28AA2" w14:textId="77777777" w:rsidR="00414A96" w:rsidRPr="00C56304" w:rsidRDefault="00414A96" w:rsidP="00EF3DCC">
            <w:pPr>
              <w:pStyle w:val="NoSpacing"/>
              <w:jc w:val="left"/>
              <w:rPr>
                <w:rFonts w:cs="Arial"/>
                <w:sz w:val="20"/>
                <w:szCs w:val="20"/>
                <w:lang w:eastAsia="en-AU"/>
              </w:rPr>
            </w:pPr>
            <w:r w:rsidRPr="00C56304">
              <w:rPr>
                <w:rFonts w:cs="Arial"/>
                <w:sz w:val="20"/>
                <w:szCs w:val="20"/>
                <w:lang w:eastAsia="en-AU"/>
              </w:rPr>
              <w:t xml:space="preserve">Reducing the number of HRWL boiler classes from three in the OSH regulations to two in the model WHS regulations will create transition issues.  The Advance classes of HRWL for boiler operation in the OSH regulations and model WHS regulations can be considered equivalent as they permit workers to operate all kinds of boilers.  However, there is no direct correlation between the classes of Basic and Intermediate </w:t>
            </w:r>
            <w:r w:rsidRPr="00C56304">
              <w:rPr>
                <w:rFonts w:cs="Arial"/>
                <w:sz w:val="20"/>
                <w:szCs w:val="20"/>
                <w:lang w:eastAsia="en-AU"/>
              </w:rPr>
              <w:lastRenderedPageBreak/>
              <w:t xml:space="preserve">pressure equipment operation in the OSH regulations, and Standard boiler operation in the model WHS regulations.  For example, with an Intermediate Boiler HRWL, operators can use some boilers that are capable of being fired by multiple fuels simultaneously.  The WHS regulations require an Advanced Boiler HRWL for operators to use boilers that are capable of being fired by multiple fuels simultaneously.  </w:t>
            </w:r>
          </w:p>
          <w:p w14:paraId="72B28AA3" w14:textId="77777777" w:rsidR="00414A96" w:rsidRPr="00C56304" w:rsidRDefault="00414A96" w:rsidP="00EF3DCC">
            <w:pPr>
              <w:pStyle w:val="NoSpacing"/>
              <w:jc w:val="left"/>
              <w:rPr>
                <w:rFonts w:cs="Arial"/>
                <w:sz w:val="20"/>
                <w:szCs w:val="20"/>
                <w:lang w:eastAsia="en-AU"/>
              </w:rPr>
            </w:pPr>
            <w:r w:rsidRPr="00C56304">
              <w:rPr>
                <w:rFonts w:cs="Arial"/>
                <w:sz w:val="20"/>
                <w:szCs w:val="20"/>
                <w:lang w:eastAsia="en-AU"/>
              </w:rPr>
              <w:t xml:space="preserve">Methods to transition from the three boiler classes in the OSH regulations to the two classes in the WHS regulations are not specified.  However, as drafted in the model WHS regulations, Basic Boiler HRWL operators under the OSH Act will have to upgrade their HRWL to a Standard Boiler HRWL even if they only want to operate a Basic Boiler.  Similarly, as Advanced Boiler HRWL under the model WHS regulations are required for boilers that are capable of being fired by multiple fuels simultaneously, Intermediate Boiler HRWL operators under the OSH regulations will not be able to operate some of the boilers that are capable of being fired by multiple fuels simultaneously.  </w:t>
            </w:r>
          </w:p>
        </w:tc>
        <w:tc>
          <w:tcPr>
            <w:tcW w:w="2962" w:type="dxa"/>
          </w:tcPr>
          <w:p w14:paraId="72B28AA4" w14:textId="77777777" w:rsidR="00414A96" w:rsidRPr="00C56304" w:rsidRDefault="00414A96" w:rsidP="00EF3DCC">
            <w:pPr>
              <w:pStyle w:val="NoSpacing"/>
              <w:jc w:val="left"/>
              <w:rPr>
                <w:rFonts w:cs="Arial"/>
                <w:sz w:val="20"/>
                <w:szCs w:val="20"/>
                <w:lang w:eastAsia="en-AU"/>
              </w:rPr>
            </w:pPr>
            <w:r w:rsidRPr="00C56304">
              <w:rPr>
                <w:rFonts w:cs="Arial"/>
                <w:sz w:val="20"/>
                <w:szCs w:val="20"/>
                <w:lang w:eastAsia="en-AU"/>
              </w:rPr>
              <w:lastRenderedPageBreak/>
              <w:t>The OSH regulations presently require an HRWL to operate three classes of boilers:</w:t>
            </w:r>
          </w:p>
          <w:p w14:paraId="72B28AA5" w14:textId="77777777" w:rsidR="00414A96" w:rsidRPr="00C56304" w:rsidRDefault="00414A96" w:rsidP="00EF3DCC">
            <w:pPr>
              <w:pStyle w:val="NoSpacing"/>
              <w:numPr>
                <w:ilvl w:val="0"/>
                <w:numId w:val="11"/>
              </w:numPr>
              <w:jc w:val="left"/>
              <w:rPr>
                <w:rFonts w:cs="Arial"/>
                <w:sz w:val="20"/>
                <w:szCs w:val="20"/>
              </w:rPr>
            </w:pPr>
            <w:r w:rsidRPr="00C56304">
              <w:rPr>
                <w:rFonts w:cs="Arial"/>
                <w:sz w:val="20"/>
                <w:szCs w:val="20"/>
              </w:rPr>
              <w:t>pressure equipment operation, basic;</w:t>
            </w:r>
          </w:p>
          <w:p w14:paraId="72B28AA6" w14:textId="77777777" w:rsidR="00414A96" w:rsidRPr="00C56304" w:rsidRDefault="00414A96" w:rsidP="00EF3DCC">
            <w:pPr>
              <w:pStyle w:val="NoSpacing"/>
              <w:numPr>
                <w:ilvl w:val="0"/>
                <w:numId w:val="11"/>
              </w:numPr>
              <w:jc w:val="left"/>
              <w:rPr>
                <w:rFonts w:cs="Arial"/>
                <w:sz w:val="20"/>
                <w:szCs w:val="20"/>
              </w:rPr>
            </w:pPr>
            <w:r w:rsidRPr="00C56304">
              <w:rPr>
                <w:rFonts w:cs="Arial"/>
                <w:sz w:val="20"/>
                <w:szCs w:val="20"/>
              </w:rPr>
              <w:t>pressure equipment operation, intermediate; and</w:t>
            </w:r>
          </w:p>
          <w:p w14:paraId="72B28AA7" w14:textId="77777777" w:rsidR="00414A96" w:rsidRPr="00C56304" w:rsidRDefault="00414A96" w:rsidP="00EF3DCC">
            <w:pPr>
              <w:pStyle w:val="NoSpacing"/>
              <w:numPr>
                <w:ilvl w:val="0"/>
                <w:numId w:val="11"/>
              </w:numPr>
              <w:jc w:val="left"/>
              <w:rPr>
                <w:rFonts w:cs="Arial"/>
                <w:sz w:val="20"/>
                <w:szCs w:val="20"/>
              </w:rPr>
            </w:pPr>
            <w:r w:rsidRPr="00C56304">
              <w:rPr>
                <w:rFonts w:cs="Arial"/>
                <w:sz w:val="20"/>
                <w:szCs w:val="20"/>
              </w:rPr>
              <w:t>pressure equipment operation, advanced.</w:t>
            </w:r>
          </w:p>
          <w:p w14:paraId="72B28AA8" w14:textId="77777777" w:rsidR="00414A96" w:rsidRPr="00C56304" w:rsidRDefault="00414A96" w:rsidP="00EF3DCC">
            <w:pPr>
              <w:autoSpaceDE w:val="0"/>
              <w:autoSpaceDN w:val="0"/>
              <w:adjustRightInd w:val="0"/>
              <w:spacing w:before="120" w:after="120"/>
              <w:rPr>
                <w:rFonts w:ascii="Arial" w:hAnsi="Arial" w:cs="Arial"/>
                <w:sz w:val="20"/>
                <w:szCs w:val="20"/>
                <w:lang w:eastAsia="en-AU"/>
              </w:rPr>
            </w:pPr>
          </w:p>
        </w:tc>
      </w:tr>
      <w:tr w:rsidR="00414A96" w:rsidRPr="00C56304" w14:paraId="72B28AAF" w14:textId="77777777" w:rsidTr="00EF3DCC">
        <w:trPr>
          <w:tblHeader/>
        </w:trPr>
        <w:tc>
          <w:tcPr>
            <w:tcW w:w="2962" w:type="dxa"/>
          </w:tcPr>
          <w:p w14:paraId="72B28AAA" w14:textId="77777777" w:rsidR="00414A96" w:rsidRPr="00C56304" w:rsidRDefault="00414A96" w:rsidP="00EF3DCC">
            <w:pPr>
              <w:pStyle w:val="Heading2"/>
              <w:numPr>
                <w:ilvl w:val="0"/>
                <w:numId w:val="37"/>
              </w:numPr>
              <w:ind w:left="455"/>
              <w:outlineLvl w:val="1"/>
              <w:rPr>
                <w:sz w:val="20"/>
                <w:szCs w:val="20"/>
              </w:rPr>
            </w:pPr>
            <w:bookmarkStart w:id="128" w:name="_Toc451257380"/>
            <w:bookmarkStart w:id="129" w:name="_Toc451422099"/>
            <w:bookmarkStart w:id="130" w:name="_Toc451437312"/>
            <w:bookmarkStart w:id="131" w:name="_Toc4661858"/>
            <w:bookmarkStart w:id="132" w:name="_Toc17104635"/>
            <w:r w:rsidRPr="00C56304">
              <w:rPr>
                <w:sz w:val="20"/>
                <w:szCs w:val="20"/>
              </w:rPr>
              <w:t>Registered Training Organisations to retain records</w:t>
            </w:r>
            <w:bookmarkEnd w:id="128"/>
            <w:bookmarkEnd w:id="129"/>
            <w:bookmarkEnd w:id="130"/>
            <w:r w:rsidRPr="00C56304">
              <w:rPr>
                <w:sz w:val="20"/>
                <w:szCs w:val="20"/>
              </w:rPr>
              <w:t xml:space="preserve"> - HRWL</w:t>
            </w:r>
            <w:bookmarkEnd w:id="131"/>
            <w:bookmarkEnd w:id="132"/>
          </w:p>
          <w:p w14:paraId="72B28AAB" w14:textId="77777777" w:rsidR="00414A96" w:rsidRPr="00C56304" w:rsidRDefault="00414A96" w:rsidP="00EF3DCC">
            <w:pPr>
              <w:pStyle w:val="Heading2"/>
              <w:ind w:left="455"/>
              <w:outlineLvl w:val="1"/>
              <w:rPr>
                <w:sz w:val="20"/>
                <w:szCs w:val="20"/>
              </w:rPr>
            </w:pPr>
          </w:p>
        </w:tc>
        <w:tc>
          <w:tcPr>
            <w:tcW w:w="3365" w:type="dxa"/>
          </w:tcPr>
          <w:p w14:paraId="72B28AAC" w14:textId="77777777" w:rsidR="00414A96" w:rsidRPr="00C56304" w:rsidRDefault="00414A96" w:rsidP="00EF3DCC">
            <w:pPr>
              <w:pStyle w:val="NoSpacing"/>
              <w:jc w:val="left"/>
              <w:rPr>
                <w:rFonts w:cs="Arial"/>
                <w:sz w:val="20"/>
                <w:szCs w:val="20"/>
              </w:rPr>
            </w:pPr>
            <w:r w:rsidRPr="00C56304">
              <w:rPr>
                <w:rFonts w:cs="Arial"/>
                <w:sz w:val="20"/>
                <w:szCs w:val="20"/>
              </w:rPr>
              <w:t>No equivalent</w:t>
            </w:r>
          </w:p>
          <w:p w14:paraId="72B28AAD" w14:textId="77777777" w:rsidR="00414A96" w:rsidRPr="00C56304" w:rsidRDefault="00414A96" w:rsidP="00EF3DCC">
            <w:pPr>
              <w:spacing w:before="120" w:after="120"/>
              <w:rPr>
                <w:rFonts w:ascii="Arial" w:hAnsi="Arial" w:cs="Arial"/>
                <w:sz w:val="20"/>
                <w:szCs w:val="20"/>
              </w:rPr>
            </w:pPr>
          </w:p>
        </w:tc>
        <w:tc>
          <w:tcPr>
            <w:tcW w:w="2962" w:type="dxa"/>
          </w:tcPr>
          <w:p w14:paraId="72B28AAE" w14:textId="77777777" w:rsidR="00414A96" w:rsidRPr="00C56304" w:rsidRDefault="00414A96" w:rsidP="00EF3DCC">
            <w:pPr>
              <w:autoSpaceDE w:val="0"/>
              <w:autoSpaceDN w:val="0"/>
              <w:adjustRightInd w:val="0"/>
              <w:spacing w:before="120" w:after="120"/>
              <w:rPr>
                <w:rFonts w:ascii="Arial" w:hAnsi="Arial" w:cs="Arial"/>
                <w:color w:val="000000"/>
                <w:sz w:val="20"/>
                <w:szCs w:val="20"/>
                <w:lang w:eastAsia="en-AU"/>
              </w:rPr>
            </w:pPr>
            <w:r w:rsidRPr="00C56304">
              <w:rPr>
                <w:rFonts w:ascii="Arial" w:hAnsi="Arial" w:cs="Arial"/>
                <w:sz w:val="20"/>
                <w:szCs w:val="20"/>
              </w:rPr>
              <w:t xml:space="preserve">R. 6.32 requires Registered Training Organisations to retain records in relation to an assessment for an HRWL.  The records are used to support the audit of Registered HRWL Assessors.  </w:t>
            </w:r>
          </w:p>
        </w:tc>
      </w:tr>
      <w:tr w:rsidR="004160FC" w:rsidRPr="00C56304" w14:paraId="637646F3" w14:textId="77777777" w:rsidTr="00EF3DCC">
        <w:trPr>
          <w:tblHeader/>
        </w:trPr>
        <w:tc>
          <w:tcPr>
            <w:tcW w:w="2962" w:type="dxa"/>
          </w:tcPr>
          <w:p w14:paraId="32F05FA1" w14:textId="143708C7" w:rsidR="004160FC" w:rsidRPr="004160FC" w:rsidRDefault="004160FC" w:rsidP="00EF3DCC">
            <w:pPr>
              <w:pStyle w:val="Heading2"/>
              <w:numPr>
                <w:ilvl w:val="0"/>
                <w:numId w:val="37"/>
              </w:numPr>
              <w:ind w:left="455"/>
              <w:outlineLvl w:val="1"/>
              <w:rPr>
                <w:sz w:val="20"/>
                <w:szCs w:val="20"/>
              </w:rPr>
            </w:pPr>
            <w:bookmarkStart w:id="133" w:name="_Toc15303486"/>
            <w:bookmarkStart w:id="134" w:name="_Toc17104636"/>
            <w:r w:rsidRPr="004160FC">
              <w:rPr>
                <w:sz w:val="22"/>
              </w:rPr>
              <w:t>Notice of demolition work</w:t>
            </w:r>
            <w:bookmarkEnd w:id="133"/>
            <w:bookmarkEnd w:id="134"/>
          </w:p>
        </w:tc>
        <w:tc>
          <w:tcPr>
            <w:tcW w:w="3365" w:type="dxa"/>
          </w:tcPr>
          <w:p w14:paraId="6EDB8E27" w14:textId="77777777" w:rsidR="004160FC" w:rsidRPr="004160FC" w:rsidRDefault="004160FC" w:rsidP="00EF3DCC">
            <w:pPr>
              <w:spacing w:before="120" w:after="120"/>
              <w:rPr>
                <w:rFonts w:ascii="Arial" w:hAnsi="Arial" w:cs="Arial"/>
                <w:sz w:val="20"/>
              </w:rPr>
            </w:pPr>
            <w:r w:rsidRPr="004160FC">
              <w:rPr>
                <w:rFonts w:ascii="Arial" w:hAnsi="Arial" w:cs="Arial"/>
                <w:sz w:val="20"/>
              </w:rPr>
              <w:t>R. 142 prescribes that the regulator is provided with 5 days written notification before the demolition work begins and involves a:</w:t>
            </w:r>
          </w:p>
          <w:p w14:paraId="77E95797" w14:textId="77777777" w:rsidR="004160FC" w:rsidRPr="004160FC" w:rsidRDefault="004160FC" w:rsidP="00EF3DCC">
            <w:pPr>
              <w:pStyle w:val="ListParagraph"/>
              <w:numPr>
                <w:ilvl w:val="0"/>
                <w:numId w:val="38"/>
              </w:numPr>
              <w:spacing w:before="120" w:after="120"/>
              <w:ind w:left="335"/>
              <w:rPr>
                <w:rFonts w:ascii="Arial" w:hAnsi="Arial" w:cs="Arial"/>
                <w:sz w:val="20"/>
              </w:rPr>
            </w:pPr>
            <w:r w:rsidRPr="004160FC">
              <w:rPr>
                <w:rFonts w:ascii="Arial" w:hAnsi="Arial" w:cs="Arial"/>
                <w:sz w:val="20"/>
              </w:rPr>
              <w:t xml:space="preserve">structure related to the physical integrity that is at least 6 metres in height; </w:t>
            </w:r>
          </w:p>
          <w:p w14:paraId="4A917DED" w14:textId="20CCF474" w:rsidR="004160FC" w:rsidRPr="004160FC" w:rsidRDefault="004160FC" w:rsidP="00EF3DCC">
            <w:pPr>
              <w:pStyle w:val="ListParagraph"/>
              <w:numPr>
                <w:ilvl w:val="0"/>
                <w:numId w:val="38"/>
              </w:numPr>
              <w:spacing w:before="120" w:after="120"/>
              <w:ind w:left="335"/>
              <w:rPr>
                <w:rFonts w:ascii="Arial" w:hAnsi="Arial" w:cs="Arial"/>
                <w:sz w:val="20"/>
              </w:rPr>
            </w:pPr>
            <w:r w:rsidRPr="004160FC">
              <w:rPr>
                <w:rFonts w:ascii="Arial" w:hAnsi="Arial" w:cs="Arial"/>
                <w:sz w:val="20"/>
              </w:rPr>
              <w:t xml:space="preserve">load shifting machinery on suspended floor; and explosives.  </w:t>
            </w:r>
          </w:p>
        </w:tc>
        <w:tc>
          <w:tcPr>
            <w:tcW w:w="2962" w:type="dxa"/>
          </w:tcPr>
          <w:p w14:paraId="67429D2C" w14:textId="77777777" w:rsidR="004160FC" w:rsidRPr="004160FC" w:rsidRDefault="004160FC" w:rsidP="00EF3DCC">
            <w:pPr>
              <w:spacing w:before="120" w:after="120"/>
              <w:rPr>
                <w:rFonts w:ascii="Arial" w:eastAsiaTheme="majorEastAsia" w:hAnsi="Arial" w:cs="Arial"/>
                <w:sz w:val="20"/>
              </w:rPr>
            </w:pPr>
            <w:r w:rsidRPr="004160FC">
              <w:rPr>
                <w:rFonts w:ascii="Arial" w:eastAsiaTheme="majorEastAsia" w:hAnsi="Arial" w:cs="Arial"/>
                <w:sz w:val="20"/>
              </w:rPr>
              <w:t xml:space="preserve">R. 3.119 requires the Commissioner to be notified at least 5 working days before class 1, class 2 and class 3 demolition work is intended to begin.  </w:t>
            </w:r>
          </w:p>
          <w:p w14:paraId="01949B0C" w14:textId="77777777" w:rsidR="004160FC" w:rsidRPr="004160FC" w:rsidRDefault="004160FC" w:rsidP="00EF3DCC">
            <w:pPr>
              <w:spacing w:before="120" w:after="120"/>
              <w:rPr>
                <w:rFonts w:ascii="Arial" w:eastAsiaTheme="majorEastAsia" w:hAnsi="Arial" w:cs="Arial"/>
                <w:sz w:val="20"/>
              </w:rPr>
            </w:pPr>
            <w:r w:rsidRPr="004160FC">
              <w:rPr>
                <w:rFonts w:ascii="Arial" w:eastAsiaTheme="majorEastAsia" w:hAnsi="Arial" w:cs="Arial"/>
                <w:sz w:val="20"/>
              </w:rPr>
              <w:t>For class 1 and class 2,  issues to consider include:</w:t>
            </w:r>
          </w:p>
          <w:p w14:paraId="3D0CCAB7" w14:textId="77777777" w:rsidR="004160FC" w:rsidRPr="004160FC" w:rsidRDefault="004160FC" w:rsidP="00EF3DCC">
            <w:pPr>
              <w:pStyle w:val="ListParagraph"/>
              <w:numPr>
                <w:ilvl w:val="0"/>
                <w:numId w:val="39"/>
              </w:numPr>
              <w:spacing w:before="120" w:after="120"/>
              <w:ind w:left="371"/>
              <w:rPr>
                <w:rFonts w:ascii="Arial" w:eastAsiaTheme="majorEastAsia" w:hAnsi="Arial" w:cs="Arial"/>
                <w:sz w:val="20"/>
              </w:rPr>
            </w:pPr>
            <w:r w:rsidRPr="004160FC">
              <w:rPr>
                <w:rFonts w:ascii="Arial" w:eastAsiaTheme="majorEastAsia" w:hAnsi="Arial" w:cs="Arial"/>
                <w:sz w:val="20"/>
              </w:rPr>
              <w:t>the height threshold is 10 metres or more;</w:t>
            </w:r>
          </w:p>
          <w:p w14:paraId="2EC9A088" w14:textId="77777777" w:rsidR="004160FC" w:rsidRPr="004160FC" w:rsidRDefault="004160FC" w:rsidP="00EF3DCC">
            <w:pPr>
              <w:pStyle w:val="ListParagraph"/>
              <w:numPr>
                <w:ilvl w:val="0"/>
                <w:numId w:val="39"/>
              </w:numPr>
              <w:spacing w:before="120" w:after="120"/>
              <w:ind w:left="371"/>
              <w:rPr>
                <w:rFonts w:ascii="Arial" w:eastAsiaTheme="majorEastAsia" w:hAnsi="Arial" w:cs="Arial"/>
                <w:sz w:val="20"/>
              </w:rPr>
            </w:pPr>
            <w:r w:rsidRPr="004160FC">
              <w:rPr>
                <w:rFonts w:ascii="Arial" w:eastAsiaTheme="majorEastAsia" w:hAnsi="Arial" w:cs="Arial"/>
                <w:sz w:val="20"/>
              </w:rPr>
              <w:t>there are references to total or partial demolition , tilt-up method of construction with no reference to height;</w:t>
            </w:r>
          </w:p>
          <w:p w14:paraId="08203C61" w14:textId="77777777" w:rsidR="004160FC" w:rsidRPr="004160FC" w:rsidRDefault="004160FC" w:rsidP="00EF3DCC">
            <w:pPr>
              <w:pStyle w:val="ListParagraph"/>
              <w:numPr>
                <w:ilvl w:val="0"/>
                <w:numId w:val="39"/>
              </w:numPr>
              <w:spacing w:before="120" w:after="120"/>
              <w:ind w:left="513" w:hanging="437"/>
              <w:rPr>
                <w:rFonts w:ascii="Arial" w:eastAsiaTheme="majorEastAsia" w:hAnsi="Arial" w:cs="Arial"/>
                <w:sz w:val="20"/>
              </w:rPr>
            </w:pPr>
            <w:r w:rsidRPr="004160FC">
              <w:rPr>
                <w:rFonts w:ascii="Arial" w:eastAsiaTheme="majorEastAsia" w:hAnsi="Arial" w:cs="Arial"/>
                <w:sz w:val="20"/>
              </w:rPr>
              <w:lastRenderedPageBreak/>
              <w:t xml:space="preserve">use of a tower crane or crane with a safe working load greater than 100 tonnes; </w:t>
            </w:r>
          </w:p>
          <w:p w14:paraId="188209CA" w14:textId="77777777" w:rsidR="004160FC" w:rsidRDefault="004160FC" w:rsidP="00EF3DCC">
            <w:pPr>
              <w:pStyle w:val="ListParagraph"/>
              <w:numPr>
                <w:ilvl w:val="0"/>
                <w:numId w:val="39"/>
              </w:numPr>
              <w:spacing w:before="120" w:after="120"/>
              <w:ind w:left="513" w:hanging="437"/>
              <w:rPr>
                <w:rFonts w:ascii="Arial" w:eastAsiaTheme="majorEastAsia" w:hAnsi="Arial" w:cs="Arial"/>
                <w:sz w:val="20"/>
              </w:rPr>
            </w:pPr>
            <w:r w:rsidRPr="004160FC">
              <w:rPr>
                <w:rFonts w:ascii="Arial" w:eastAsiaTheme="majorEastAsia" w:hAnsi="Arial" w:cs="Arial"/>
                <w:sz w:val="20"/>
              </w:rPr>
              <w:t>brittle and fragile roofing; and</w:t>
            </w:r>
          </w:p>
          <w:p w14:paraId="4A98D027" w14:textId="65DE341C" w:rsidR="004160FC" w:rsidRPr="004160FC" w:rsidRDefault="004160FC" w:rsidP="00EF3DCC">
            <w:pPr>
              <w:pStyle w:val="ListParagraph"/>
              <w:numPr>
                <w:ilvl w:val="0"/>
                <w:numId w:val="39"/>
              </w:numPr>
              <w:spacing w:before="120" w:after="120"/>
              <w:ind w:left="513" w:hanging="437"/>
              <w:rPr>
                <w:rFonts w:ascii="Arial" w:eastAsiaTheme="majorEastAsia" w:hAnsi="Arial" w:cs="Arial"/>
                <w:sz w:val="20"/>
              </w:rPr>
            </w:pPr>
            <w:r w:rsidRPr="004160FC">
              <w:rPr>
                <w:rFonts w:ascii="Arial" w:eastAsiaTheme="majorEastAsia" w:hAnsi="Arial" w:cs="Arial"/>
                <w:sz w:val="20"/>
              </w:rPr>
              <w:t xml:space="preserve">single storey dwellings are not excluded.  </w:t>
            </w:r>
          </w:p>
        </w:tc>
      </w:tr>
      <w:tr w:rsidR="004160FC" w:rsidRPr="00C56304" w14:paraId="72B28AB9" w14:textId="77777777" w:rsidTr="00EF3DCC">
        <w:trPr>
          <w:tblHeader/>
        </w:trPr>
        <w:tc>
          <w:tcPr>
            <w:tcW w:w="2962" w:type="dxa"/>
          </w:tcPr>
          <w:p w14:paraId="72B28AB0" w14:textId="0F0BC45C" w:rsidR="004160FC" w:rsidRPr="00C56304" w:rsidRDefault="004160FC" w:rsidP="00EF3DCC">
            <w:pPr>
              <w:pStyle w:val="Heading2"/>
              <w:numPr>
                <w:ilvl w:val="0"/>
                <w:numId w:val="37"/>
              </w:numPr>
              <w:ind w:left="455"/>
              <w:outlineLvl w:val="1"/>
              <w:rPr>
                <w:sz w:val="20"/>
                <w:szCs w:val="20"/>
                <w:lang w:val="en"/>
              </w:rPr>
            </w:pPr>
            <w:bookmarkStart w:id="135" w:name="_Toc4661859"/>
            <w:bookmarkStart w:id="136" w:name="_Toc17104637"/>
            <w:r w:rsidRPr="00C56304">
              <w:rPr>
                <w:sz w:val="20"/>
                <w:szCs w:val="20"/>
              </w:rPr>
              <w:lastRenderedPageBreak/>
              <w:t>General Electrical Safety in Workplaces and Energised Electrical Work</w:t>
            </w:r>
            <w:bookmarkEnd w:id="135"/>
            <w:bookmarkEnd w:id="136"/>
          </w:p>
          <w:p w14:paraId="72B28AB1" w14:textId="77777777" w:rsidR="004160FC" w:rsidRPr="00C56304" w:rsidRDefault="004160FC" w:rsidP="00EF3DCC">
            <w:pPr>
              <w:pStyle w:val="Heading2"/>
              <w:ind w:left="455"/>
              <w:outlineLvl w:val="1"/>
              <w:rPr>
                <w:sz w:val="20"/>
                <w:szCs w:val="20"/>
                <w:lang w:eastAsia="en-AU"/>
              </w:rPr>
            </w:pPr>
          </w:p>
        </w:tc>
        <w:tc>
          <w:tcPr>
            <w:tcW w:w="3365" w:type="dxa"/>
          </w:tcPr>
          <w:p w14:paraId="72B28AB2" w14:textId="77777777" w:rsidR="004160FC" w:rsidRPr="00C56304" w:rsidRDefault="004160FC" w:rsidP="00EF3DCC">
            <w:pPr>
              <w:spacing w:before="120" w:after="120"/>
              <w:rPr>
                <w:rFonts w:ascii="Arial" w:hAnsi="Arial" w:cs="Arial"/>
                <w:bCs/>
                <w:sz w:val="20"/>
                <w:szCs w:val="20"/>
              </w:rPr>
            </w:pPr>
            <w:r w:rsidRPr="00C56304">
              <w:rPr>
                <w:rFonts w:ascii="Arial" w:hAnsi="Arial" w:cs="Arial"/>
                <w:sz w:val="20"/>
                <w:szCs w:val="20"/>
              </w:rPr>
              <w:t xml:space="preserve">Part 4.7 </w:t>
            </w:r>
            <w:r w:rsidRPr="00C56304">
              <w:rPr>
                <w:rFonts w:ascii="Arial" w:hAnsi="Arial" w:cs="Arial"/>
                <w:bCs/>
                <w:sz w:val="20"/>
                <w:szCs w:val="20"/>
              </w:rPr>
              <w:t xml:space="preserve">of the model WHS regulations introduces definitions and some requirements which are inconsistent with the OSH regulations.  In turn, the OSH regulations reference the </w:t>
            </w:r>
            <w:r w:rsidRPr="00C56304">
              <w:rPr>
                <w:rFonts w:ascii="Arial" w:hAnsi="Arial" w:cs="Arial"/>
                <w:sz w:val="20"/>
                <w:szCs w:val="20"/>
              </w:rPr>
              <w:t>Electricity (Licensing) Regulations 1991</w:t>
            </w:r>
            <w:r w:rsidRPr="00C56304">
              <w:rPr>
                <w:rFonts w:ascii="Arial" w:hAnsi="Arial" w:cs="Arial"/>
                <w:bCs/>
                <w:sz w:val="20"/>
                <w:szCs w:val="20"/>
              </w:rPr>
              <w:t xml:space="preserve"> (EL regulations).  </w:t>
            </w:r>
          </w:p>
          <w:p w14:paraId="72B28AB3" w14:textId="77777777" w:rsidR="004160FC" w:rsidRPr="00C56304" w:rsidRDefault="004160FC" w:rsidP="00EF3DCC">
            <w:pPr>
              <w:spacing w:before="120" w:after="120"/>
              <w:rPr>
                <w:rFonts w:ascii="Arial" w:hAnsi="Arial" w:cs="Arial"/>
                <w:bCs/>
                <w:i/>
                <w:sz w:val="20"/>
                <w:szCs w:val="20"/>
              </w:rPr>
            </w:pPr>
            <w:r w:rsidRPr="00C56304">
              <w:rPr>
                <w:rFonts w:ascii="Arial" w:hAnsi="Arial" w:cs="Arial"/>
                <w:bCs/>
                <w:sz w:val="20"/>
                <w:szCs w:val="20"/>
              </w:rPr>
              <w:t xml:space="preserve">If the definitions and requirements in the national model WHS regulations are applied as drafted, there will be inconsistencies with existing requirements as specified in the OSH regulations and EL regulations.  Alternatively, if the definitions and requirements from the OSH regulations are retained, including the references to the EL regulations, there will be </w:t>
            </w:r>
            <w:r w:rsidRPr="00C56304">
              <w:rPr>
                <w:rFonts w:ascii="Arial" w:hAnsi="Arial" w:cs="Arial"/>
                <w:bCs/>
                <w:i/>
                <w:sz w:val="20"/>
                <w:szCs w:val="20"/>
              </w:rPr>
              <w:t xml:space="preserve">consequence for the WA </w:t>
            </w:r>
            <w:r w:rsidRPr="00C56304">
              <w:rPr>
                <w:rFonts w:ascii="Arial" w:eastAsiaTheme="majorEastAsia" w:hAnsi="Arial" w:cs="Arial"/>
                <w:i/>
                <w:sz w:val="20"/>
                <w:szCs w:val="20"/>
              </w:rPr>
              <w:t>WHS regulations</w:t>
            </w:r>
            <w:r w:rsidRPr="00C56304">
              <w:rPr>
                <w:rFonts w:ascii="Arial" w:hAnsi="Arial" w:cs="Arial"/>
                <w:bCs/>
                <w:i/>
                <w:sz w:val="20"/>
                <w:szCs w:val="20"/>
              </w:rPr>
              <w:t xml:space="preserve">.  </w:t>
            </w:r>
          </w:p>
          <w:p w14:paraId="72B28AB4" w14:textId="77777777" w:rsidR="004160FC" w:rsidRPr="00C56304" w:rsidRDefault="004160FC" w:rsidP="00EF3DCC">
            <w:pPr>
              <w:spacing w:before="120" w:after="120"/>
              <w:rPr>
                <w:rFonts w:ascii="Arial" w:hAnsi="Arial" w:cs="Arial"/>
                <w:bCs/>
                <w:sz w:val="20"/>
                <w:szCs w:val="20"/>
              </w:rPr>
            </w:pPr>
            <w:r w:rsidRPr="00C56304">
              <w:rPr>
                <w:rFonts w:ascii="Arial" w:hAnsi="Arial" w:cs="Arial"/>
                <w:bCs/>
                <w:sz w:val="20"/>
                <w:szCs w:val="20"/>
              </w:rPr>
              <w:t xml:space="preserve">Views are requested about the adoption of Part 4.7 of the model WHS regulations as drafted or whether amendments should be made to the model WHS regulations to reflect existing electricity regulations in the OSH regulations and the EL regulations.  </w:t>
            </w:r>
          </w:p>
          <w:p w14:paraId="72B28AB5" w14:textId="46F2AE60" w:rsidR="004160FC" w:rsidRPr="00C56304" w:rsidRDefault="004160FC" w:rsidP="00A07CF9">
            <w:pPr>
              <w:pStyle w:val="NoSpacing"/>
              <w:jc w:val="left"/>
              <w:rPr>
                <w:rFonts w:eastAsia="Times New Roman" w:cs="Arial"/>
                <w:color w:val="000000"/>
                <w:sz w:val="20"/>
                <w:szCs w:val="20"/>
                <w:lang w:eastAsia="en-AU"/>
              </w:rPr>
            </w:pPr>
            <w:r w:rsidRPr="00C56304">
              <w:rPr>
                <w:rFonts w:eastAsiaTheme="majorEastAsia" w:cs="Arial"/>
                <w:sz w:val="20"/>
                <w:szCs w:val="20"/>
              </w:rPr>
              <w:t xml:space="preserve">If you would like to make comment about the </w:t>
            </w:r>
            <w:r w:rsidRPr="00C56304">
              <w:rPr>
                <w:rFonts w:cs="Arial"/>
                <w:sz w:val="20"/>
                <w:szCs w:val="20"/>
              </w:rPr>
              <w:t>Part 4.7, General Electrical Safety in Workplaces and Energised Electrical Work</w:t>
            </w:r>
            <w:r w:rsidR="00A07CF9">
              <w:rPr>
                <w:rFonts w:eastAsiaTheme="majorEastAsia" w:cs="Arial"/>
                <w:sz w:val="20"/>
                <w:szCs w:val="20"/>
              </w:rPr>
              <w:t xml:space="preserve"> use the submission template.</w:t>
            </w:r>
            <w:r w:rsidRPr="00C56304">
              <w:rPr>
                <w:rFonts w:eastAsiaTheme="majorEastAsia" w:cs="Arial"/>
                <w:sz w:val="20"/>
                <w:szCs w:val="20"/>
              </w:rPr>
              <w:t xml:space="preserve">  </w:t>
            </w:r>
          </w:p>
        </w:tc>
        <w:tc>
          <w:tcPr>
            <w:tcW w:w="2962" w:type="dxa"/>
          </w:tcPr>
          <w:p w14:paraId="72B28AB6" w14:textId="293559BB" w:rsidR="004160FC" w:rsidRPr="00C56304" w:rsidRDefault="004160FC" w:rsidP="00EF3DCC">
            <w:pPr>
              <w:spacing w:before="120" w:after="120"/>
              <w:rPr>
                <w:rFonts w:ascii="Arial" w:hAnsi="Arial" w:cs="Arial"/>
                <w:sz w:val="20"/>
                <w:szCs w:val="20"/>
                <w:lang w:val="en" w:eastAsia="en-AU"/>
              </w:rPr>
            </w:pPr>
            <w:r w:rsidRPr="00C56304">
              <w:rPr>
                <w:rFonts w:ascii="Arial" w:eastAsiaTheme="majorEastAsia" w:hAnsi="Arial" w:cs="Arial"/>
                <w:sz w:val="20"/>
                <w:szCs w:val="20"/>
              </w:rPr>
              <w:t xml:space="preserve">On 14 May 2018, </w:t>
            </w:r>
            <w:r w:rsidRPr="00C56304">
              <w:rPr>
                <w:rFonts w:ascii="Arial" w:hAnsi="Arial" w:cs="Arial"/>
                <w:sz w:val="20"/>
                <w:szCs w:val="20"/>
                <w:lang w:val="en" w:eastAsia="en-AU"/>
              </w:rPr>
              <w:t xml:space="preserve">the </w:t>
            </w:r>
            <w:hyperlink r:id="rId26" w:history="1">
              <w:r w:rsidRPr="004160FC">
                <w:rPr>
                  <w:rStyle w:val="Hyperlink"/>
                  <w:rFonts w:ascii="Arial" w:hAnsi="Arial" w:cs="Arial"/>
                  <w:sz w:val="20"/>
                  <w:szCs w:val="20"/>
                  <w:lang w:val="en" w:eastAsia="en-AU"/>
                </w:rPr>
                <w:t>Occupational Safety and Health Amendment Regulations 2017</w:t>
              </w:r>
            </w:hyperlink>
            <w:r w:rsidRPr="00C56304">
              <w:rPr>
                <w:rFonts w:ascii="Arial" w:hAnsi="Arial" w:cs="Arial"/>
                <w:sz w:val="20"/>
                <w:szCs w:val="20"/>
                <w:lang w:val="en" w:eastAsia="en-AU"/>
              </w:rPr>
              <w:t xml:space="preserve"> (Electrical Amendment Regulations) commenced</w:t>
            </w:r>
            <w:r w:rsidRPr="00C56304">
              <w:rPr>
                <w:rFonts w:ascii="Arial" w:eastAsiaTheme="majorEastAsia" w:hAnsi="Arial" w:cs="Arial"/>
                <w:sz w:val="20"/>
                <w:szCs w:val="20"/>
              </w:rPr>
              <w:t xml:space="preserve">.  Under the </w:t>
            </w:r>
            <w:r w:rsidRPr="00C56304">
              <w:rPr>
                <w:rFonts w:ascii="Arial" w:hAnsi="Arial" w:cs="Arial"/>
                <w:sz w:val="20"/>
                <w:szCs w:val="20"/>
                <w:lang w:val="en" w:eastAsia="en-AU"/>
              </w:rPr>
              <w:t xml:space="preserve">electrical amendment regulations, electrical work on or near live electrical installations and equipment will be prohibited, except for circumstances where it is impossible to work without the installation being energised, such as testing.  </w:t>
            </w:r>
          </w:p>
          <w:p w14:paraId="72B28AB7" w14:textId="77777777" w:rsidR="004160FC" w:rsidRPr="00C56304" w:rsidRDefault="004160FC" w:rsidP="00EF3DCC">
            <w:pPr>
              <w:spacing w:before="120" w:after="120"/>
              <w:rPr>
                <w:rFonts w:ascii="Arial" w:eastAsiaTheme="majorEastAsia" w:hAnsi="Arial" w:cs="Arial"/>
                <w:sz w:val="20"/>
                <w:szCs w:val="20"/>
              </w:rPr>
            </w:pPr>
            <w:r w:rsidRPr="00C56304">
              <w:rPr>
                <w:rFonts w:ascii="Arial" w:hAnsi="Arial" w:cs="Arial"/>
                <w:sz w:val="20"/>
                <w:szCs w:val="20"/>
                <w:lang w:val="en" w:eastAsia="en-AU"/>
              </w:rPr>
              <w:t>The electrical amendment regulations also require the electricity main switch to be turned off before any workers enter the ceiling space of domestic properties.  Similar provisions to the electrical amendment regulations</w:t>
            </w:r>
            <w:r w:rsidRPr="00C56304">
              <w:rPr>
                <w:rFonts w:ascii="Arial" w:eastAsiaTheme="majorEastAsia" w:hAnsi="Arial" w:cs="Arial"/>
                <w:sz w:val="20"/>
                <w:szCs w:val="20"/>
              </w:rPr>
              <w:t xml:space="preserve"> are not included in Part 4.7 – General Electrical Safety in Workplaces and Energised Electrical Work of the model WHS regulations</w:t>
            </w:r>
            <w:r w:rsidRPr="00C56304">
              <w:rPr>
                <w:rFonts w:ascii="Arial" w:hAnsi="Arial" w:cs="Arial"/>
                <w:sz w:val="20"/>
                <w:szCs w:val="20"/>
                <w:lang w:val="en" w:eastAsia="en-AU"/>
              </w:rPr>
              <w:t xml:space="preserve">.  </w:t>
            </w:r>
          </w:p>
          <w:p w14:paraId="72B28AB8" w14:textId="77777777" w:rsidR="004160FC" w:rsidRPr="00C56304" w:rsidRDefault="004160FC" w:rsidP="00EF3DCC">
            <w:pPr>
              <w:autoSpaceDE w:val="0"/>
              <w:autoSpaceDN w:val="0"/>
              <w:adjustRightInd w:val="0"/>
              <w:spacing w:before="120" w:after="120"/>
              <w:rPr>
                <w:rFonts w:ascii="Arial" w:hAnsi="Arial" w:cs="Arial"/>
                <w:color w:val="000000"/>
                <w:sz w:val="20"/>
                <w:szCs w:val="20"/>
                <w:lang w:eastAsia="en-AU"/>
              </w:rPr>
            </w:pPr>
          </w:p>
        </w:tc>
      </w:tr>
      <w:tr w:rsidR="004160FC" w:rsidRPr="00C56304" w14:paraId="72B28ABF" w14:textId="77777777" w:rsidTr="00EF3DCC">
        <w:trPr>
          <w:tblHeader/>
        </w:trPr>
        <w:tc>
          <w:tcPr>
            <w:tcW w:w="2962" w:type="dxa"/>
          </w:tcPr>
          <w:p w14:paraId="72B28ABA" w14:textId="72D64223" w:rsidR="004160FC" w:rsidRPr="00C56304" w:rsidRDefault="004160FC" w:rsidP="00EF3DCC">
            <w:pPr>
              <w:pStyle w:val="Heading2"/>
              <w:numPr>
                <w:ilvl w:val="0"/>
                <w:numId w:val="37"/>
              </w:numPr>
              <w:ind w:left="455"/>
              <w:outlineLvl w:val="1"/>
              <w:rPr>
                <w:sz w:val="20"/>
                <w:szCs w:val="20"/>
                <w:lang w:eastAsia="en-AU"/>
              </w:rPr>
            </w:pPr>
            <w:bookmarkStart w:id="137" w:name="_Toc451257386"/>
            <w:bookmarkStart w:id="138" w:name="_Toc451422107"/>
            <w:bookmarkStart w:id="139" w:name="_Toc451437320"/>
            <w:bookmarkStart w:id="140" w:name="_Toc4661860"/>
            <w:bookmarkStart w:id="141" w:name="_Toc17104638"/>
            <w:r w:rsidRPr="00C56304">
              <w:rPr>
                <w:sz w:val="20"/>
                <w:szCs w:val="20"/>
                <w:lang w:eastAsia="en-AU"/>
              </w:rPr>
              <w:t>Power for Inspector to immediately suspend an authorisation</w:t>
            </w:r>
            <w:bookmarkEnd w:id="137"/>
            <w:bookmarkEnd w:id="138"/>
            <w:bookmarkEnd w:id="139"/>
            <w:bookmarkEnd w:id="140"/>
            <w:bookmarkEnd w:id="141"/>
          </w:p>
          <w:p w14:paraId="72B28ABB" w14:textId="77777777" w:rsidR="004160FC" w:rsidRPr="00C56304" w:rsidRDefault="004160FC" w:rsidP="00EF3DCC">
            <w:pPr>
              <w:pStyle w:val="Heading2"/>
              <w:ind w:left="455"/>
              <w:outlineLvl w:val="1"/>
              <w:rPr>
                <w:sz w:val="20"/>
                <w:szCs w:val="20"/>
              </w:rPr>
            </w:pPr>
          </w:p>
        </w:tc>
        <w:tc>
          <w:tcPr>
            <w:tcW w:w="3365" w:type="dxa"/>
          </w:tcPr>
          <w:p w14:paraId="72B28ABC" w14:textId="77777777" w:rsidR="004160FC" w:rsidRPr="00C56304" w:rsidRDefault="004160FC" w:rsidP="00EF3DCC">
            <w:pPr>
              <w:pStyle w:val="NoSpacing"/>
              <w:jc w:val="left"/>
              <w:rPr>
                <w:rFonts w:cs="Arial"/>
                <w:sz w:val="20"/>
                <w:szCs w:val="20"/>
                <w:lang w:eastAsia="en-AU"/>
              </w:rPr>
            </w:pPr>
            <w:r w:rsidRPr="00C56304">
              <w:rPr>
                <w:rFonts w:cs="Arial"/>
                <w:sz w:val="20"/>
                <w:szCs w:val="20"/>
                <w:lang w:eastAsia="en-AU"/>
              </w:rPr>
              <w:t xml:space="preserve">Regulations </w:t>
            </w:r>
            <w:r w:rsidRPr="00C56304">
              <w:rPr>
                <w:rFonts w:eastAsia="Times New Roman" w:cs="Arial"/>
                <w:color w:val="000000"/>
                <w:sz w:val="20"/>
                <w:szCs w:val="20"/>
                <w:lang w:eastAsia="en-AU"/>
              </w:rPr>
              <w:t xml:space="preserve">110; 138 and 524 </w:t>
            </w:r>
            <w:r w:rsidRPr="00C56304">
              <w:rPr>
                <w:rFonts w:cs="Arial"/>
                <w:sz w:val="20"/>
                <w:szCs w:val="20"/>
                <w:lang w:eastAsia="en-AU"/>
              </w:rPr>
              <w:t xml:space="preserve">provide the regulator with the power to immediately suspend an authorisation if there is an imminent serious risk to health or safety of any person, or when a corresponding WHS regulator has suspended an equivalent authorisation.  </w:t>
            </w:r>
          </w:p>
        </w:tc>
        <w:tc>
          <w:tcPr>
            <w:tcW w:w="2962" w:type="dxa"/>
          </w:tcPr>
          <w:p w14:paraId="72B28ABD" w14:textId="77777777" w:rsidR="004160FC" w:rsidRPr="00C56304" w:rsidRDefault="004160FC" w:rsidP="00EF3DCC">
            <w:pPr>
              <w:autoSpaceDE w:val="0"/>
              <w:autoSpaceDN w:val="0"/>
              <w:adjustRightInd w:val="0"/>
              <w:spacing w:before="120" w:after="120"/>
              <w:rPr>
                <w:rFonts w:ascii="Arial" w:hAnsi="Arial" w:cs="Arial"/>
                <w:sz w:val="20"/>
                <w:szCs w:val="20"/>
                <w:lang w:eastAsia="en-AU"/>
              </w:rPr>
            </w:pPr>
            <w:r w:rsidRPr="00C56304">
              <w:rPr>
                <w:rFonts w:ascii="Arial" w:hAnsi="Arial" w:cs="Arial"/>
                <w:sz w:val="20"/>
                <w:szCs w:val="20"/>
                <w:lang w:eastAsia="en-AU"/>
              </w:rPr>
              <w:t xml:space="preserve">Immediate suspension provisions are not included.  </w:t>
            </w:r>
          </w:p>
          <w:p w14:paraId="72B28ABE" w14:textId="77777777" w:rsidR="004160FC" w:rsidRPr="00C56304" w:rsidRDefault="004160FC" w:rsidP="00EF3DCC">
            <w:pPr>
              <w:autoSpaceDE w:val="0"/>
              <w:autoSpaceDN w:val="0"/>
              <w:adjustRightInd w:val="0"/>
              <w:spacing w:before="120" w:after="120"/>
              <w:rPr>
                <w:rFonts w:ascii="Arial" w:hAnsi="Arial" w:cs="Arial"/>
                <w:sz w:val="20"/>
                <w:szCs w:val="20"/>
              </w:rPr>
            </w:pPr>
            <w:r w:rsidRPr="00C56304">
              <w:rPr>
                <w:rFonts w:ascii="Arial" w:hAnsi="Arial" w:cs="Arial"/>
                <w:sz w:val="20"/>
                <w:szCs w:val="20"/>
                <w:lang w:eastAsia="en-AU"/>
              </w:rPr>
              <w:t>Where an Inspector identifies an imminent serious risk to health or safety of any person, the Inspector will issue a Prohibition Notice to prevent the activity.</w:t>
            </w:r>
          </w:p>
        </w:tc>
      </w:tr>
      <w:tr w:rsidR="004160FC" w:rsidRPr="00C56304" w14:paraId="72B28AC4" w14:textId="77777777" w:rsidTr="00EF3DCC">
        <w:trPr>
          <w:tblHeader/>
        </w:trPr>
        <w:tc>
          <w:tcPr>
            <w:tcW w:w="2962" w:type="dxa"/>
          </w:tcPr>
          <w:p w14:paraId="72B28AC0" w14:textId="28E0C86E" w:rsidR="004160FC" w:rsidRPr="00C56304" w:rsidRDefault="004160FC" w:rsidP="00EF3DCC">
            <w:pPr>
              <w:pStyle w:val="Heading2"/>
              <w:numPr>
                <w:ilvl w:val="0"/>
                <w:numId w:val="37"/>
              </w:numPr>
              <w:ind w:left="455"/>
              <w:outlineLvl w:val="1"/>
              <w:rPr>
                <w:sz w:val="20"/>
                <w:szCs w:val="20"/>
              </w:rPr>
            </w:pPr>
            <w:bookmarkStart w:id="142" w:name="_Toc451257344"/>
            <w:bookmarkStart w:id="143" w:name="_Toc451422063"/>
            <w:bookmarkStart w:id="144" w:name="_Toc451437276"/>
            <w:bookmarkStart w:id="145" w:name="_Toc4661861"/>
            <w:bookmarkStart w:id="146" w:name="_Toc17104639"/>
            <w:r w:rsidRPr="00C56304">
              <w:rPr>
                <w:sz w:val="20"/>
                <w:szCs w:val="20"/>
              </w:rPr>
              <w:t>Making records available for inspection</w:t>
            </w:r>
            <w:bookmarkEnd w:id="142"/>
            <w:bookmarkEnd w:id="143"/>
            <w:bookmarkEnd w:id="144"/>
            <w:bookmarkEnd w:id="145"/>
            <w:bookmarkEnd w:id="146"/>
          </w:p>
          <w:p w14:paraId="72B28AC1" w14:textId="77777777" w:rsidR="004160FC" w:rsidRPr="00C56304" w:rsidRDefault="004160FC" w:rsidP="00EF3DCC">
            <w:pPr>
              <w:pStyle w:val="Heading2"/>
              <w:ind w:left="455"/>
              <w:outlineLvl w:val="1"/>
              <w:rPr>
                <w:sz w:val="20"/>
                <w:szCs w:val="20"/>
              </w:rPr>
            </w:pPr>
          </w:p>
        </w:tc>
        <w:tc>
          <w:tcPr>
            <w:tcW w:w="3365" w:type="dxa"/>
          </w:tcPr>
          <w:p w14:paraId="72B28AC2" w14:textId="77777777" w:rsidR="004160FC" w:rsidRPr="00C56304" w:rsidRDefault="004160FC" w:rsidP="00EF3DCC">
            <w:pPr>
              <w:pStyle w:val="NoSpacing"/>
              <w:jc w:val="left"/>
              <w:rPr>
                <w:rFonts w:cs="Arial"/>
                <w:sz w:val="20"/>
                <w:szCs w:val="20"/>
              </w:rPr>
            </w:pPr>
            <w:r w:rsidRPr="00C56304">
              <w:rPr>
                <w:rFonts w:cs="Arial"/>
                <w:sz w:val="20"/>
                <w:szCs w:val="20"/>
              </w:rPr>
              <w:t xml:space="preserve">Regulations </w:t>
            </w:r>
            <w:r w:rsidRPr="00C56304">
              <w:rPr>
                <w:rFonts w:eastAsia="Times New Roman" w:cs="Arial"/>
                <w:color w:val="000000"/>
                <w:sz w:val="20"/>
                <w:szCs w:val="20"/>
                <w:lang w:eastAsia="en-AU"/>
              </w:rPr>
              <w:t xml:space="preserve">94; 124; 226(3); 230; 237(4); 262; 303(4); 304(5); 313(4); 445(4); 465(3)(b) and 505) </w:t>
            </w:r>
            <w:r w:rsidRPr="00C56304">
              <w:rPr>
                <w:rFonts w:cs="Arial"/>
                <w:sz w:val="20"/>
                <w:szCs w:val="20"/>
              </w:rPr>
              <w:t xml:space="preserve">require </w:t>
            </w:r>
            <w:r w:rsidRPr="00C56304">
              <w:rPr>
                <w:rFonts w:cs="Arial"/>
                <w:sz w:val="20"/>
                <w:szCs w:val="20"/>
              </w:rPr>
              <w:lastRenderedPageBreak/>
              <w:t xml:space="preserve">prescribed documents to be made available for inspection.  </w:t>
            </w:r>
          </w:p>
        </w:tc>
        <w:tc>
          <w:tcPr>
            <w:tcW w:w="2962" w:type="dxa"/>
          </w:tcPr>
          <w:p w14:paraId="72B28AC3" w14:textId="77777777" w:rsidR="004160FC" w:rsidRPr="00C56304" w:rsidRDefault="004160FC" w:rsidP="00EF3DCC">
            <w:pPr>
              <w:autoSpaceDE w:val="0"/>
              <w:autoSpaceDN w:val="0"/>
              <w:adjustRightInd w:val="0"/>
              <w:spacing w:before="120" w:after="120"/>
              <w:rPr>
                <w:rFonts w:ascii="Arial" w:hAnsi="Arial" w:cs="Arial"/>
                <w:sz w:val="20"/>
                <w:szCs w:val="20"/>
              </w:rPr>
            </w:pPr>
            <w:r w:rsidRPr="00C56304">
              <w:rPr>
                <w:rFonts w:ascii="Arial" w:hAnsi="Arial" w:cs="Arial"/>
                <w:sz w:val="20"/>
                <w:szCs w:val="20"/>
              </w:rPr>
              <w:lastRenderedPageBreak/>
              <w:t>Similar provisions do not presently exist in the OSH regulations.</w:t>
            </w:r>
          </w:p>
        </w:tc>
      </w:tr>
      <w:tr w:rsidR="004160FC" w:rsidRPr="00C56304" w14:paraId="72B28ACC" w14:textId="77777777" w:rsidTr="00EF3DCC">
        <w:trPr>
          <w:tblHeader/>
        </w:trPr>
        <w:tc>
          <w:tcPr>
            <w:tcW w:w="2962" w:type="dxa"/>
          </w:tcPr>
          <w:p w14:paraId="72B28AC5" w14:textId="1CF29BD5" w:rsidR="004160FC" w:rsidRPr="00C56304" w:rsidRDefault="004160FC" w:rsidP="00EF3DCC">
            <w:pPr>
              <w:pStyle w:val="Heading2"/>
              <w:numPr>
                <w:ilvl w:val="0"/>
                <w:numId w:val="37"/>
              </w:numPr>
              <w:ind w:left="455"/>
              <w:outlineLvl w:val="1"/>
              <w:rPr>
                <w:sz w:val="20"/>
                <w:szCs w:val="20"/>
              </w:rPr>
            </w:pPr>
            <w:bookmarkStart w:id="147" w:name="_Toc451257419"/>
            <w:bookmarkStart w:id="148" w:name="_Toc451422140"/>
            <w:bookmarkStart w:id="149" w:name="_Toc451437353"/>
            <w:bookmarkStart w:id="150" w:name="_Toc4661862"/>
            <w:bookmarkStart w:id="151" w:name="_Toc17104640"/>
            <w:r w:rsidRPr="00C56304">
              <w:rPr>
                <w:sz w:val="20"/>
                <w:szCs w:val="20"/>
              </w:rPr>
              <w:t>Testing of electrical equipment</w:t>
            </w:r>
            <w:bookmarkEnd w:id="147"/>
            <w:bookmarkEnd w:id="148"/>
            <w:bookmarkEnd w:id="149"/>
            <w:r w:rsidRPr="00C56304">
              <w:rPr>
                <w:sz w:val="20"/>
                <w:szCs w:val="20"/>
              </w:rPr>
              <w:t xml:space="preserve"> and portable appliances – competent person</w:t>
            </w:r>
            <w:bookmarkEnd w:id="150"/>
            <w:bookmarkEnd w:id="151"/>
          </w:p>
          <w:p w14:paraId="72B28AC6" w14:textId="77777777" w:rsidR="004160FC" w:rsidRPr="00C56304" w:rsidRDefault="004160FC" w:rsidP="00EF3DCC">
            <w:pPr>
              <w:pStyle w:val="Heading2"/>
              <w:ind w:left="455"/>
              <w:outlineLvl w:val="1"/>
              <w:rPr>
                <w:sz w:val="20"/>
                <w:szCs w:val="20"/>
              </w:rPr>
            </w:pPr>
          </w:p>
        </w:tc>
        <w:tc>
          <w:tcPr>
            <w:tcW w:w="3365" w:type="dxa"/>
          </w:tcPr>
          <w:p w14:paraId="72B28AC7" w14:textId="77777777" w:rsidR="004160FC" w:rsidRPr="00C56304" w:rsidRDefault="004160FC" w:rsidP="00EF3DCC">
            <w:pPr>
              <w:spacing w:before="120" w:after="120"/>
              <w:rPr>
                <w:rFonts w:ascii="Arial" w:hAnsi="Arial" w:cs="Arial"/>
                <w:sz w:val="20"/>
                <w:szCs w:val="20"/>
              </w:rPr>
            </w:pPr>
            <w:r w:rsidRPr="00C56304">
              <w:rPr>
                <w:rFonts w:ascii="Arial" w:hAnsi="Arial" w:cs="Arial"/>
                <w:sz w:val="20"/>
                <w:szCs w:val="20"/>
              </w:rPr>
              <w:t>Regulation 150((1)(b) requires the regular inspection of electrical equipment by a competent person if it is used in an environment where the electrical equipment is operating in conditions that are likely to result in damage to the equipment or a reduction in its expected life span.</w:t>
            </w:r>
          </w:p>
        </w:tc>
        <w:tc>
          <w:tcPr>
            <w:tcW w:w="2962" w:type="dxa"/>
          </w:tcPr>
          <w:p w14:paraId="72B28AC8" w14:textId="017883AE" w:rsidR="004160FC" w:rsidRPr="00C56304" w:rsidRDefault="004160FC" w:rsidP="00EF3DCC">
            <w:pPr>
              <w:autoSpaceDE w:val="0"/>
              <w:autoSpaceDN w:val="0"/>
              <w:adjustRightInd w:val="0"/>
              <w:spacing w:before="120" w:after="120"/>
              <w:rPr>
                <w:rFonts w:ascii="Arial" w:hAnsi="Arial" w:cs="Arial"/>
                <w:sz w:val="20"/>
                <w:szCs w:val="20"/>
              </w:rPr>
            </w:pPr>
            <w:r w:rsidRPr="00C56304">
              <w:rPr>
                <w:rFonts w:ascii="Arial" w:hAnsi="Arial" w:cs="Arial"/>
                <w:sz w:val="20"/>
                <w:szCs w:val="20"/>
              </w:rPr>
              <w:t>The OSH regulations</w:t>
            </w:r>
            <w:r>
              <w:rPr>
                <w:rFonts w:ascii="Arial" w:hAnsi="Arial" w:cs="Arial"/>
                <w:sz w:val="20"/>
                <w:szCs w:val="20"/>
              </w:rPr>
              <w:t xml:space="preserve"> limit the</w:t>
            </w:r>
            <w:r w:rsidRPr="00C56304">
              <w:rPr>
                <w:rFonts w:ascii="Arial" w:hAnsi="Arial" w:cs="Arial"/>
                <w:sz w:val="20"/>
                <w:szCs w:val="20"/>
              </w:rPr>
              <w:t xml:space="preserve"> require</w:t>
            </w:r>
            <w:r>
              <w:rPr>
                <w:rFonts w:ascii="Arial" w:hAnsi="Arial" w:cs="Arial"/>
                <w:sz w:val="20"/>
                <w:szCs w:val="20"/>
              </w:rPr>
              <w:t>ment to</w:t>
            </w:r>
            <w:r w:rsidRPr="00C56304">
              <w:rPr>
                <w:rFonts w:ascii="Arial" w:hAnsi="Arial" w:cs="Arial"/>
                <w:sz w:val="20"/>
                <w:szCs w:val="20"/>
              </w:rPr>
              <w:t xml:space="preserve"> the testing of electrical equipment on</w:t>
            </w:r>
            <w:r>
              <w:rPr>
                <w:rFonts w:ascii="Arial" w:hAnsi="Arial" w:cs="Arial"/>
                <w:sz w:val="20"/>
                <w:szCs w:val="20"/>
              </w:rPr>
              <w:t xml:space="preserve"> a</w:t>
            </w:r>
            <w:r w:rsidRPr="00C56304">
              <w:rPr>
                <w:rFonts w:ascii="Arial" w:hAnsi="Arial" w:cs="Arial"/>
                <w:sz w:val="20"/>
                <w:szCs w:val="20"/>
              </w:rPr>
              <w:t xml:space="preserve"> construction workplace by reference to AS/NZS 3012: Electrical Installations – Construction and demolition sites in r. 3.61.  </w:t>
            </w:r>
          </w:p>
          <w:p w14:paraId="72B28AC9" w14:textId="77777777" w:rsidR="004160FC" w:rsidRPr="00C56304" w:rsidRDefault="004160FC" w:rsidP="00EF3DCC">
            <w:pPr>
              <w:pStyle w:val="Default"/>
              <w:spacing w:before="120" w:after="120"/>
              <w:rPr>
                <w:sz w:val="20"/>
                <w:szCs w:val="20"/>
              </w:rPr>
            </w:pPr>
            <w:r w:rsidRPr="00C56304">
              <w:rPr>
                <w:sz w:val="20"/>
                <w:szCs w:val="20"/>
              </w:rPr>
              <w:t>The testing is also required to be undertaken by a competent person which includes:</w:t>
            </w:r>
          </w:p>
          <w:p w14:paraId="72B28ACA" w14:textId="77777777" w:rsidR="004160FC" w:rsidRPr="00C56304" w:rsidRDefault="004160FC" w:rsidP="00EF3DCC">
            <w:pPr>
              <w:pStyle w:val="Default"/>
              <w:numPr>
                <w:ilvl w:val="0"/>
                <w:numId w:val="27"/>
              </w:numPr>
              <w:spacing w:before="120" w:after="120"/>
              <w:ind w:left="388"/>
              <w:rPr>
                <w:sz w:val="20"/>
                <w:szCs w:val="20"/>
              </w:rPr>
            </w:pPr>
            <w:r w:rsidRPr="00C56304">
              <w:rPr>
                <w:sz w:val="20"/>
                <w:szCs w:val="20"/>
              </w:rPr>
              <w:t>a licensed electrician; or</w:t>
            </w:r>
          </w:p>
          <w:p w14:paraId="72B28ACB" w14:textId="77777777" w:rsidR="004160FC" w:rsidRPr="00C56304" w:rsidRDefault="004160FC" w:rsidP="00EF3DCC">
            <w:pPr>
              <w:pStyle w:val="Default"/>
              <w:numPr>
                <w:ilvl w:val="0"/>
                <w:numId w:val="27"/>
              </w:numPr>
              <w:spacing w:before="120" w:after="120"/>
              <w:ind w:left="388"/>
              <w:rPr>
                <w:rFonts w:eastAsia="Times New Roman"/>
                <w:sz w:val="20"/>
                <w:szCs w:val="20"/>
                <w:lang w:eastAsia="en-AU"/>
              </w:rPr>
            </w:pPr>
            <w:r w:rsidRPr="00C56304">
              <w:rPr>
                <w:sz w:val="20"/>
                <w:szCs w:val="20"/>
              </w:rPr>
              <w:t>a person who has been trained and satisfactorily completed a competency-assessed training course on testing and tagging using a portable appliance tester.</w:t>
            </w:r>
          </w:p>
        </w:tc>
      </w:tr>
      <w:tr w:rsidR="004160FC" w:rsidRPr="00C56304" w14:paraId="72B28AD2" w14:textId="77777777" w:rsidTr="00EF3DCC">
        <w:trPr>
          <w:tblHeader/>
        </w:trPr>
        <w:tc>
          <w:tcPr>
            <w:tcW w:w="2962" w:type="dxa"/>
          </w:tcPr>
          <w:p w14:paraId="72B28ACD" w14:textId="4994B411" w:rsidR="004160FC" w:rsidRPr="00C56304" w:rsidRDefault="004160FC" w:rsidP="00EF3DCC">
            <w:pPr>
              <w:pStyle w:val="Heading2"/>
              <w:numPr>
                <w:ilvl w:val="0"/>
                <w:numId w:val="37"/>
              </w:numPr>
              <w:ind w:left="455"/>
              <w:outlineLvl w:val="1"/>
              <w:rPr>
                <w:sz w:val="20"/>
                <w:szCs w:val="20"/>
              </w:rPr>
            </w:pPr>
            <w:bookmarkStart w:id="152" w:name="_Toc4661863"/>
            <w:bookmarkStart w:id="153" w:name="_Toc17104641"/>
            <w:r w:rsidRPr="00C56304">
              <w:rPr>
                <w:sz w:val="20"/>
                <w:szCs w:val="20"/>
              </w:rPr>
              <w:t>Testing of electrical equipment and portable appliances – information tags</w:t>
            </w:r>
            <w:bookmarkEnd w:id="152"/>
            <w:bookmarkEnd w:id="153"/>
          </w:p>
          <w:p w14:paraId="72B28ACE" w14:textId="77777777" w:rsidR="004160FC" w:rsidRPr="00C56304" w:rsidRDefault="004160FC" w:rsidP="00EF3DCC">
            <w:pPr>
              <w:pStyle w:val="Heading2"/>
              <w:ind w:left="455"/>
              <w:outlineLvl w:val="1"/>
              <w:rPr>
                <w:sz w:val="20"/>
                <w:szCs w:val="20"/>
              </w:rPr>
            </w:pPr>
          </w:p>
        </w:tc>
        <w:tc>
          <w:tcPr>
            <w:tcW w:w="3365" w:type="dxa"/>
          </w:tcPr>
          <w:p w14:paraId="72B28ACF" w14:textId="77777777" w:rsidR="004160FC" w:rsidRPr="00C56304" w:rsidRDefault="004160FC" w:rsidP="00EF3DCC">
            <w:pPr>
              <w:pStyle w:val="NoSpacing"/>
              <w:jc w:val="left"/>
              <w:rPr>
                <w:rFonts w:cs="Arial"/>
                <w:sz w:val="20"/>
                <w:szCs w:val="20"/>
              </w:rPr>
            </w:pPr>
            <w:r w:rsidRPr="00C56304">
              <w:rPr>
                <w:rFonts w:cs="Arial"/>
                <w:sz w:val="20"/>
                <w:szCs w:val="20"/>
              </w:rPr>
              <w:t xml:space="preserve">There are some differences between the information required on tags by the OSH regulations (including AS 3012) and r. 150(4).  </w:t>
            </w:r>
          </w:p>
          <w:p w14:paraId="72B28AD0" w14:textId="77777777" w:rsidR="004160FC" w:rsidRPr="00C56304" w:rsidRDefault="004160FC" w:rsidP="00EF3DCC">
            <w:pPr>
              <w:pStyle w:val="NoSpacing"/>
              <w:jc w:val="left"/>
              <w:rPr>
                <w:rFonts w:cs="Arial"/>
                <w:sz w:val="20"/>
                <w:szCs w:val="20"/>
              </w:rPr>
            </w:pPr>
            <w:r w:rsidRPr="00C56304">
              <w:rPr>
                <w:rFonts w:cs="Arial"/>
                <w:sz w:val="20"/>
                <w:szCs w:val="20"/>
              </w:rPr>
              <w:t xml:space="preserve">R. 150(4) has a list of issues to be recorded which may be in the form of a tag on the equipment but does not specify tagging required.  </w:t>
            </w:r>
          </w:p>
        </w:tc>
        <w:tc>
          <w:tcPr>
            <w:tcW w:w="2962" w:type="dxa"/>
          </w:tcPr>
          <w:p w14:paraId="72B28AD1" w14:textId="77777777" w:rsidR="004160FC" w:rsidRPr="00C56304" w:rsidRDefault="004160FC" w:rsidP="00EF3DCC">
            <w:pPr>
              <w:autoSpaceDE w:val="0"/>
              <w:autoSpaceDN w:val="0"/>
              <w:adjustRightInd w:val="0"/>
              <w:spacing w:before="120" w:after="120"/>
              <w:rPr>
                <w:rFonts w:ascii="Arial" w:hAnsi="Arial" w:cs="Arial"/>
                <w:sz w:val="20"/>
                <w:szCs w:val="20"/>
              </w:rPr>
            </w:pPr>
            <w:r w:rsidRPr="00C56304">
              <w:rPr>
                <w:rFonts w:ascii="Arial" w:hAnsi="Arial" w:cs="Arial"/>
                <w:sz w:val="20"/>
                <w:szCs w:val="20"/>
              </w:rPr>
              <w:t xml:space="preserve">R. 3.62 require tagging and references the requirements in AS/NZS 3012 Electrical Installations – Construction and Demolition Sites.  </w:t>
            </w:r>
          </w:p>
        </w:tc>
      </w:tr>
      <w:tr w:rsidR="004160FC" w:rsidRPr="00C56304" w14:paraId="72B28AD8" w14:textId="77777777" w:rsidTr="00EF3DCC">
        <w:trPr>
          <w:tblHeader/>
        </w:trPr>
        <w:tc>
          <w:tcPr>
            <w:tcW w:w="2962" w:type="dxa"/>
          </w:tcPr>
          <w:p w14:paraId="72B28AD3" w14:textId="188525FF" w:rsidR="004160FC" w:rsidRPr="00C56304" w:rsidRDefault="004160FC" w:rsidP="00EF3DCC">
            <w:pPr>
              <w:pStyle w:val="Heading2"/>
              <w:numPr>
                <w:ilvl w:val="0"/>
                <w:numId w:val="37"/>
              </w:numPr>
              <w:ind w:left="455"/>
              <w:outlineLvl w:val="1"/>
              <w:rPr>
                <w:sz w:val="20"/>
                <w:szCs w:val="20"/>
              </w:rPr>
            </w:pPr>
            <w:bookmarkStart w:id="154" w:name="_Toc4661864"/>
            <w:bookmarkStart w:id="155" w:name="_Toc17104642"/>
            <w:r w:rsidRPr="00C56304">
              <w:rPr>
                <w:sz w:val="20"/>
                <w:szCs w:val="20"/>
              </w:rPr>
              <w:t>Unsafe distances - overhead or underground electric line</w:t>
            </w:r>
            <w:bookmarkEnd w:id="154"/>
            <w:bookmarkEnd w:id="155"/>
          </w:p>
          <w:p w14:paraId="72B28AD4" w14:textId="77777777" w:rsidR="004160FC" w:rsidRPr="00C56304" w:rsidRDefault="004160FC" w:rsidP="00EF3DCC">
            <w:pPr>
              <w:pStyle w:val="Heading2"/>
              <w:ind w:left="455"/>
              <w:outlineLvl w:val="1"/>
              <w:rPr>
                <w:sz w:val="20"/>
                <w:szCs w:val="20"/>
              </w:rPr>
            </w:pPr>
          </w:p>
        </w:tc>
        <w:tc>
          <w:tcPr>
            <w:tcW w:w="3365" w:type="dxa"/>
          </w:tcPr>
          <w:p w14:paraId="72B28AD5" w14:textId="77777777" w:rsidR="004160FC" w:rsidRPr="00C56304" w:rsidRDefault="004160FC" w:rsidP="00EF3DCC">
            <w:pPr>
              <w:pStyle w:val="NoSpacing"/>
              <w:jc w:val="left"/>
              <w:rPr>
                <w:rFonts w:cs="Arial"/>
                <w:sz w:val="20"/>
                <w:szCs w:val="20"/>
              </w:rPr>
            </w:pPr>
            <w:r w:rsidRPr="00C56304">
              <w:rPr>
                <w:rFonts w:cs="Arial"/>
                <w:sz w:val="20"/>
                <w:szCs w:val="20"/>
              </w:rPr>
              <w:t xml:space="preserve">R. 166 refers to an “unsafe distance of overhead or underground electric line”.  </w:t>
            </w:r>
          </w:p>
        </w:tc>
        <w:tc>
          <w:tcPr>
            <w:tcW w:w="2962" w:type="dxa"/>
          </w:tcPr>
          <w:p w14:paraId="72B28AD6" w14:textId="77777777" w:rsidR="004160FC" w:rsidRPr="00C56304" w:rsidRDefault="004160FC" w:rsidP="00EF3DCC">
            <w:pPr>
              <w:autoSpaceDE w:val="0"/>
              <w:autoSpaceDN w:val="0"/>
              <w:adjustRightInd w:val="0"/>
              <w:spacing w:before="120" w:after="120"/>
              <w:rPr>
                <w:rFonts w:ascii="Arial" w:hAnsi="Arial" w:cs="Arial"/>
                <w:sz w:val="20"/>
                <w:szCs w:val="20"/>
              </w:rPr>
            </w:pPr>
            <w:r w:rsidRPr="00C56304">
              <w:rPr>
                <w:rFonts w:ascii="Arial" w:hAnsi="Arial" w:cs="Arial"/>
                <w:sz w:val="20"/>
                <w:szCs w:val="20"/>
              </w:rPr>
              <w:t xml:space="preserve">R. 3.64 prescribes the safe distances (by reference to the “danger zone”) from overhead power lines in Western Australia and includes specification control measures for working within those distances if needed.  </w:t>
            </w:r>
          </w:p>
          <w:p w14:paraId="72B28AD7" w14:textId="3C9E9258" w:rsidR="004160FC" w:rsidRPr="00C56304" w:rsidRDefault="004160FC" w:rsidP="00EF3DCC">
            <w:pPr>
              <w:autoSpaceDE w:val="0"/>
              <w:autoSpaceDN w:val="0"/>
              <w:adjustRightInd w:val="0"/>
              <w:spacing w:before="120" w:after="120"/>
              <w:rPr>
                <w:rFonts w:ascii="Arial" w:hAnsi="Arial" w:cs="Arial"/>
                <w:sz w:val="20"/>
                <w:szCs w:val="20"/>
              </w:rPr>
            </w:pPr>
            <w:r w:rsidRPr="00C56304">
              <w:rPr>
                <w:rFonts w:ascii="Arial" w:hAnsi="Arial" w:cs="Arial"/>
                <w:sz w:val="20"/>
                <w:szCs w:val="20"/>
              </w:rPr>
              <w:t>Safe distances from underground</w:t>
            </w:r>
            <w:r w:rsidR="009E6FF6">
              <w:rPr>
                <w:rFonts w:ascii="Arial" w:hAnsi="Arial" w:cs="Arial"/>
                <w:sz w:val="20"/>
                <w:szCs w:val="20"/>
              </w:rPr>
              <w:t xml:space="preserve"> power lines are not specified. </w:t>
            </w:r>
            <w:r w:rsidRPr="00C56304">
              <w:rPr>
                <w:rFonts w:ascii="Arial" w:hAnsi="Arial" w:cs="Arial"/>
                <w:sz w:val="20"/>
                <w:szCs w:val="20"/>
              </w:rPr>
              <w:t>Information on safe distances is available from the network operator (e.g. Western Power for the south-west grid).</w:t>
            </w:r>
          </w:p>
        </w:tc>
      </w:tr>
      <w:tr w:rsidR="004160FC" w:rsidRPr="00C56304" w14:paraId="72B28ADD" w14:textId="77777777" w:rsidTr="00EF3DCC">
        <w:trPr>
          <w:tblHeader/>
        </w:trPr>
        <w:tc>
          <w:tcPr>
            <w:tcW w:w="2962" w:type="dxa"/>
          </w:tcPr>
          <w:p w14:paraId="72B28AD9" w14:textId="5096AD95" w:rsidR="004160FC" w:rsidRPr="00C56304" w:rsidRDefault="004160FC" w:rsidP="00EF3DCC">
            <w:pPr>
              <w:pStyle w:val="Heading2"/>
              <w:numPr>
                <w:ilvl w:val="0"/>
                <w:numId w:val="37"/>
              </w:numPr>
              <w:ind w:left="455"/>
              <w:outlineLvl w:val="1"/>
              <w:rPr>
                <w:sz w:val="20"/>
                <w:szCs w:val="20"/>
              </w:rPr>
            </w:pPr>
            <w:bookmarkStart w:id="156" w:name="_Toc451257421"/>
            <w:bookmarkStart w:id="157" w:name="_Toc451422142"/>
            <w:bookmarkStart w:id="158" w:name="_Toc451437355"/>
            <w:bookmarkStart w:id="159" w:name="_Toc4661865"/>
            <w:bookmarkStart w:id="160" w:name="_Toc17104643"/>
            <w:r w:rsidRPr="00C56304">
              <w:rPr>
                <w:sz w:val="20"/>
                <w:szCs w:val="20"/>
              </w:rPr>
              <w:t>Implementation of OSH regulations – connection to construction site</w:t>
            </w:r>
            <w:bookmarkEnd w:id="156"/>
            <w:bookmarkEnd w:id="157"/>
            <w:bookmarkEnd w:id="158"/>
            <w:bookmarkEnd w:id="159"/>
            <w:bookmarkEnd w:id="160"/>
          </w:p>
          <w:p w14:paraId="72B28ADA" w14:textId="77777777" w:rsidR="004160FC" w:rsidRPr="00C56304" w:rsidRDefault="004160FC" w:rsidP="00EF3DCC">
            <w:pPr>
              <w:pStyle w:val="Heading2"/>
              <w:ind w:left="455"/>
              <w:outlineLvl w:val="1"/>
              <w:rPr>
                <w:sz w:val="20"/>
                <w:szCs w:val="20"/>
              </w:rPr>
            </w:pPr>
          </w:p>
        </w:tc>
        <w:tc>
          <w:tcPr>
            <w:tcW w:w="3365" w:type="dxa"/>
          </w:tcPr>
          <w:p w14:paraId="72B28ADB" w14:textId="292C2B61" w:rsidR="004160FC" w:rsidRPr="00C56304" w:rsidRDefault="004160FC" w:rsidP="00EF3DCC">
            <w:pPr>
              <w:pStyle w:val="NoSpacing"/>
              <w:jc w:val="left"/>
              <w:rPr>
                <w:rFonts w:cs="Arial"/>
                <w:sz w:val="20"/>
                <w:szCs w:val="20"/>
              </w:rPr>
            </w:pPr>
            <w:r w:rsidRPr="00C56304">
              <w:rPr>
                <w:rFonts w:cs="Arial"/>
                <w:sz w:val="20"/>
                <w:szCs w:val="20"/>
              </w:rPr>
              <w:t>No equivalent</w:t>
            </w:r>
            <w:r w:rsidR="009E6FF6">
              <w:rPr>
                <w:rFonts w:cs="Arial"/>
                <w:sz w:val="20"/>
                <w:szCs w:val="20"/>
              </w:rPr>
              <w:t>.</w:t>
            </w:r>
          </w:p>
        </w:tc>
        <w:tc>
          <w:tcPr>
            <w:tcW w:w="2962" w:type="dxa"/>
          </w:tcPr>
          <w:p w14:paraId="72B28ADC" w14:textId="77777777" w:rsidR="004160FC" w:rsidRPr="00C56304" w:rsidRDefault="004160FC" w:rsidP="00EF3DCC">
            <w:pPr>
              <w:autoSpaceDE w:val="0"/>
              <w:autoSpaceDN w:val="0"/>
              <w:adjustRightInd w:val="0"/>
              <w:spacing w:before="120" w:after="120"/>
              <w:rPr>
                <w:rFonts w:ascii="Arial" w:hAnsi="Arial" w:cs="Arial"/>
                <w:sz w:val="20"/>
                <w:szCs w:val="20"/>
              </w:rPr>
            </w:pPr>
            <w:r w:rsidRPr="00C56304">
              <w:rPr>
                <w:rFonts w:ascii="Arial" w:hAnsi="Arial" w:cs="Arial"/>
                <w:sz w:val="20"/>
                <w:szCs w:val="20"/>
                <w:lang w:eastAsia="en-AU"/>
              </w:rPr>
              <w:t xml:space="preserve">R. 3.62 specifies when electricity is to be connected to a construction site.  </w:t>
            </w:r>
          </w:p>
        </w:tc>
      </w:tr>
      <w:tr w:rsidR="004160FC" w:rsidRPr="00C56304" w14:paraId="72B28AE2" w14:textId="77777777" w:rsidTr="00EF3DCC">
        <w:trPr>
          <w:tblHeader/>
        </w:trPr>
        <w:tc>
          <w:tcPr>
            <w:tcW w:w="2962" w:type="dxa"/>
          </w:tcPr>
          <w:p w14:paraId="72B28ADE" w14:textId="79B657EF" w:rsidR="004160FC" w:rsidRPr="00C56304" w:rsidRDefault="004160FC" w:rsidP="00EF3DCC">
            <w:pPr>
              <w:pStyle w:val="Heading2"/>
              <w:numPr>
                <w:ilvl w:val="0"/>
                <w:numId w:val="37"/>
              </w:numPr>
              <w:ind w:left="455"/>
              <w:outlineLvl w:val="1"/>
              <w:rPr>
                <w:sz w:val="20"/>
                <w:szCs w:val="20"/>
              </w:rPr>
            </w:pPr>
            <w:bookmarkStart w:id="161" w:name="_Toc451257422"/>
            <w:bookmarkStart w:id="162" w:name="_Toc451422143"/>
            <w:bookmarkStart w:id="163" w:name="_Toc451437356"/>
            <w:bookmarkStart w:id="164" w:name="_Toc4661866"/>
            <w:bookmarkStart w:id="165" w:name="_Toc17104644"/>
            <w:r w:rsidRPr="00C56304">
              <w:rPr>
                <w:sz w:val="20"/>
                <w:szCs w:val="20"/>
              </w:rPr>
              <w:t xml:space="preserve">Implementation of OSH regulations – evidence portable electrical </w:t>
            </w:r>
            <w:r w:rsidRPr="00C56304">
              <w:rPr>
                <w:sz w:val="20"/>
                <w:szCs w:val="20"/>
              </w:rPr>
              <w:lastRenderedPageBreak/>
              <w:t>equipment has been tested</w:t>
            </w:r>
            <w:bookmarkEnd w:id="161"/>
            <w:bookmarkEnd w:id="162"/>
            <w:bookmarkEnd w:id="163"/>
            <w:bookmarkEnd w:id="164"/>
            <w:bookmarkEnd w:id="165"/>
          </w:p>
          <w:p w14:paraId="72B28ADF" w14:textId="77777777" w:rsidR="004160FC" w:rsidRPr="00C56304" w:rsidRDefault="004160FC" w:rsidP="00EF3DCC">
            <w:pPr>
              <w:pStyle w:val="Heading2"/>
              <w:ind w:left="455"/>
              <w:outlineLvl w:val="1"/>
              <w:rPr>
                <w:sz w:val="20"/>
                <w:szCs w:val="20"/>
              </w:rPr>
            </w:pPr>
          </w:p>
        </w:tc>
        <w:tc>
          <w:tcPr>
            <w:tcW w:w="3365" w:type="dxa"/>
          </w:tcPr>
          <w:p w14:paraId="72B28AE0" w14:textId="55AD9B90" w:rsidR="004160FC" w:rsidRPr="00C56304" w:rsidRDefault="004160FC" w:rsidP="00EF3DCC">
            <w:pPr>
              <w:pStyle w:val="NoSpacing"/>
              <w:jc w:val="left"/>
              <w:rPr>
                <w:rFonts w:cs="Arial"/>
                <w:sz w:val="20"/>
                <w:szCs w:val="20"/>
              </w:rPr>
            </w:pPr>
            <w:r w:rsidRPr="00C56304">
              <w:rPr>
                <w:rFonts w:cs="Arial"/>
                <w:sz w:val="20"/>
                <w:szCs w:val="20"/>
              </w:rPr>
              <w:lastRenderedPageBreak/>
              <w:t>No equivalent</w:t>
            </w:r>
            <w:r w:rsidR="009E6FF6">
              <w:rPr>
                <w:rFonts w:cs="Arial"/>
                <w:sz w:val="20"/>
                <w:szCs w:val="20"/>
              </w:rPr>
              <w:t>.</w:t>
            </w:r>
          </w:p>
        </w:tc>
        <w:tc>
          <w:tcPr>
            <w:tcW w:w="2962" w:type="dxa"/>
          </w:tcPr>
          <w:p w14:paraId="72B28AE1" w14:textId="77777777" w:rsidR="004160FC" w:rsidRPr="00C56304" w:rsidRDefault="004160FC" w:rsidP="00EF3DCC">
            <w:pPr>
              <w:autoSpaceDE w:val="0"/>
              <w:autoSpaceDN w:val="0"/>
              <w:adjustRightInd w:val="0"/>
              <w:spacing w:before="120" w:after="120"/>
              <w:rPr>
                <w:rFonts w:ascii="Arial" w:hAnsi="Arial" w:cs="Arial"/>
                <w:b/>
                <w:sz w:val="20"/>
                <w:szCs w:val="20"/>
                <w:lang w:eastAsia="en-AU"/>
              </w:rPr>
            </w:pPr>
            <w:r w:rsidRPr="00C56304">
              <w:rPr>
                <w:rFonts w:ascii="Arial" w:hAnsi="Arial" w:cs="Arial"/>
                <w:sz w:val="20"/>
                <w:szCs w:val="20"/>
              </w:rPr>
              <w:t xml:space="preserve">R. 3.63 </w:t>
            </w:r>
            <w:r w:rsidRPr="00C56304">
              <w:rPr>
                <w:rFonts w:ascii="Arial" w:hAnsi="Arial" w:cs="Arial"/>
                <w:sz w:val="20"/>
                <w:szCs w:val="20"/>
                <w:lang w:eastAsia="en-AU"/>
              </w:rPr>
              <w:t xml:space="preserve">requires a person </w:t>
            </w:r>
            <w:r w:rsidRPr="00C56304">
              <w:rPr>
                <w:rFonts w:ascii="Arial" w:hAnsi="Arial" w:cs="Arial"/>
                <w:color w:val="000000"/>
                <w:sz w:val="20"/>
                <w:szCs w:val="20"/>
                <w:lang w:eastAsia="en-AU"/>
              </w:rPr>
              <w:t xml:space="preserve">bringing electrical equipment to a construction site to </w:t>
            </w:r>
            <w:r w:rsidRPr="00C56304">
              <w:rPr>
                <w:rFonts w:ascii="Arial" w:hAnsi="Arial" w:cs="Arial"/>
                <w:color w:val="000000"/>
                <w:sz w:val="20"/>
                <w:szCs w:val="20"/>
                <w:lang w:eastAsia="en-AU"/>
              </w:rPr>
              <w:lastRenderedPageBreak/>
              <w:t>provide evidence the electrical equipment has been tested.</w:t>
            </w:r>
          </w:p>
        </w:tc>
      </w:tr>
      <w:tr w:rsidR="004160FC" w:rsidRPr="00C56304" w14:paraId="72B28AE8" w14:textId="77777777" w:rsidTr="00EF3DCC">
        <w:trPr>
          <w:tblHeader/>
        </w:trPr>
        <w:tc>
          <w:tcPr>
            <w:tcW w:w="2962" w:type="dxa"/>
          </w:tcPr>
          <w:p w14:paraId="72B28AE3" w14:textId="0CF14D4A" w:rsidR="004160FC" w:rsidRPr="00C56304" w:rsidRDefault="004160FC" w:rsidP="00EF3DCC">
            <w:pPr>
              <w:pStyle w:val="Heading2"/>
              <w:numPr>
                <w:ilvl w:val="0"/>
                <w:numId w:val="37"/>
              </w:numPr>
              <w:ind w:left="455"/>
              <w:outlineLvl w:val="1"/>
              <w:rPr>
                <w:sz w:val="20"/>
                <w:szCs w:val="20"/>
              </w:rPr>
            </w:pPr>
            <w:bookmarkStart w:id="166" w:name="_Toc4661867"/>
            <w:bookmarkStart w:id="167" w:name="_Toc17104645"/>
            <w:r w:rsidRPr="00C56304">
              <w:rPr>
                <w:sz w:val="20"/>
                <w:szCs w:val="20"/>
              </w:rPr>
              <w:lastRenderedPageBreak/>
              <w:t>Diving work - construction</w:t>
            </w:r>
            <w:bookmarkEnd w:id="166"/>
            <w:bookmarkEnd w:id="167"/>
          </w:p>
          <w:p w14:paraId="72B28AE4" w14:textId="77777777" w:rsidR="004160FC" w:rsidRPr="00C56304" w:rsidRDefault="004160FC" w:rsidP="00EF3DCC">
            <w:pPr>
              <w:pStyle w:val="Heading2"/>
              <w:ind w:left="455"/>
              <w:outlineLvl w:val="1"/>
              <w:rPr>
                <w:sz w:val="20"/>
                <w:szCs w:val="20"/>
              </w:rPr>
            </w:pPr>
          </w:p>
        </w:tc>
        <w:tc>
          <w:tcPr>
            <w:tcW w:w="3365" w:type="dxa"/>
          </w:tcPr>
          <w:p w14:paraId="72B28AE5" w14:textId="77777777" w:rsidR="004160FC" w:rsidRPr="00C56304" w:rsidRDefault="004160FC" w:rsidP="00EF3DCC">
            <w:pPr>
              <w:pStyle w:val="NoSpacing"/>
              <w:jc w:val="left"/>
              <w:rPr>
                <w:rFonts w:cs="Arial"/>
                <w:sz w:val="20"/>
                <w:szCs w:val="20"/>
              </w:rPr>
            </w:pPr>
            <w:r w:rsidRPr="00C56304">
              <w:rPr>
                <w:rFonts w:cs="Arial"/>
                <w:sz w:val="20"/>
                <w:szCs w:val="20"/>
              </w:rPr>
              <w:t xml:space="preserve">Part 4.8 provides the requirements for diving work </w:t>
            </w:r>
          </w:p>
          <w:p w14:paraId="72B28AE6" w14:textId="287C3D54" w:rsidR="004160FC" w:rsidRPr="00C56304" w:rsidRDefault="009E6FF6" w:rsidP="00EF3DCC">
            <w:pPr>
              <w:pStyle w:val="NoSpacing"/>
              <w:jc w:val="left"/>
              <w:rPr>
                <w:rFonts w:cs="Arial"/>
                <w:bCs/>
                <w:sz w:val="20"/>
                <w:szCs w:val="20"/>
                <w:lang w:val="en"/>
              </w:rPr>
            </w:pPr>
            <w:r>
              <w:rPr>
                <w:rFonts w:cs="Arial"/>
                <w:sz w:val="20"/>
                <w:szCs w:val="20"/>
              </w:rPr>
              <w:t>Persons undertaking h</w:t>
            </w:r>
            <w:r w:rsidR="004160FC" w:rsidRPr="00C56304">
              <w:rPr>
                <w:rFonts w:cs="Arial"/>
                <w:sz w:val="20"/>
                <w:szCs w:val="20"/>
              </w:rPr>
              <w:t xml:space="preserve">igh risk diving work are required by the model WHS regulations (r. 183) to comply with </w:t>
            </w:r>
            <w:r w:rsidR="004160FC" w:rsidRPr="00C56304">
              <w:rPr>
                <w:rFonts w:cs="Arial"/>
                <w:bCs/>
                <w:sz w:val="20"/>
                <w:szCs w:val="20"/>
                <w:lang w:val="en"/>
              </w:rPr>
              <w:t>Australian</w:t>
            </w:r>
            <w:r w:rsidR="004160FC" w:rsidRPr="00C56304">
              <w:rPr>
                <w:rFonts w:cs="Arial"/>
                <w:sz w:val="20"/>
                <w:szCs w:val="20"/>
                <w:lang w:val="en"/>
              </w:rPr>
              <w:t xml:space="preserve"> New Zealand </w:t>
            </w:r>
            <w:r w:rsidR="004160FC" w:rsidRPr="00C56304">
              <w:rPr>
                <w:rFonts w:cs="Arial"/>
                <w:bCs/>
                <w:sz w:val="20"/>
                <w:szCs w:val="20"/>
                <w:lang w:val="en"/>
              </w:rPr>
              <w:t>Standard</w:t>
            </w:r>
            <w:r w:rsidR="004160FC" w:rsidRPr="00C56304">
              <w:rPr>
                <w:rFonts w:cs="Arial"/>
                <w:sz w:val="20"/>
                <w:szCs w:val="20"/>
                <w:lang w:val="en"/>
              </w:rPr>
              <w:t xml:space="preserve"> </w:t>
            </w:r>
            <w:r w:rsidR="004160FC" w:rsidRPr="00C56304">
              <w:rPr>
                <w:rFonts w:cs="Arial"/>
                <w:i/>
                <w:sz w:val="20"/>
                <w:szCs w:val="20"/>
                <w:lang w:val="en"/>
              </w:rPr>
              <w:t xml:space="preserve">AS/NZS </w:t>
            </w:r>
            <w:r w:rsidR="004160FC" w:rsidRPr="00C56304">
              <w:rPr>
                <w:rFonts w:cs="Arial"/>
                <w:bCs/>
                <w:i/>
                <w:sz w:val="20"/>
                <w:szCs w:val="20"/>
                <w:lang w:val="en"/>
              </w:rPr>
              <w:t>2299</w:t>
            </w:r>
            <w:r w:rsidR="004160FC" w:rsidRPr="00C56304">
              <w:rPr>
                <w:rFonts w:cs="Arial"/>
                <w:i/>
                <w:sz w:val="20"/>
                <w:szCs w:val="20"/>
                <w:lang w:val="en"/>
              </w:rPr>
              <w:t xml:space="preserve">.1:2007 </w:t>
            </w:r>
            <w:r w:rsidR="004160FC" w:rsidRPr="00C56304">
              <w:rPr>
                <w:rFonts w:cs="Arial"/>
                <w:bCs/>
                <w:i/>
                <w:sz w:val="20"/>
                <w:szCs w:val="20"/>
                <w:lang w:val="en"/>
              </w:rPr>
              <w:t xml:space="preserve">Occupational Diving Operations - Standard Operational Practice </w:t>
            </w:r>
            <w:r w:rsidR="004160FC" w:rsidRPr="00C56304">
              <w:rPr>
                <w:rFonts w:cs="Arial"/>
                <w:bCs/>
                <w:sz w:val="20"/>
                <w:szCs w:val="20"/>
                <w:lang w:val="en"/>
              </w:rPr>
              <w:t xml:space="preserve">(the diving standard).  High risk diving work involves construction work and certain types of salvage work.  </w:t>
            </w:r>
          </w:p>
        </w:tc>
        <w:tc>
          <w:tcPr>
            <w:tcW w:w="2962" w:type="dxa"/>
          </w:tcPr>
          <w:p w14:paraId="72B28AE7" w14:textId="77777777" w:rsidR="004160FC" w:rsidRPr="00C56304" w:rsidRDefault="004160FC" w:rsidP="00EF3DCC">
            <w:pPr>
              <w:autoSpaceDE w:val="0"/>
              <w:autoSpaceDN w:val="0"/>
              <w:adjustRightInd w:val="0"/>
              <w:spacing w:before="120" w:after="120"/>
              <w:rPr>
                <w:rFonts w:ascii="Arial" w:hAnsi="Arial" w:cs="Arial"/>
                <w:sz w:val="20"/>
                <w:szCs w:val="20"/>
              </w:rPr>
            </w:pPr>
            <w:r w:rsidRPr="00C56304">
              <w:rPr>
                <w:rFonts w:ascii="Arial" w:hAnsi="Arial" w:cs="Arial"/>
                <w:bCs/>
                <w:sz w:val="20"/>
                <w:szCs w:val="20"/>
                <w:lang w:val="en"/>
              </w:rPr>
              <w:t xml:space="preserve">R. 3.29 requires persons undertaking construction diving work to comply with the diving standard.  </w:t>
            </w:r>
          </w:p>
        </w:tc>
      </w:tr>
      <w:tr w:rsidR="004160FC" w:rsidRPr="00C56304" w14:paraId="72B28AED" w14:textId="77777777" w:rsidTr="00EF3DCC">
        <w:trPr>
          <w:tblHeader/>
        </w:trPr>
        <w:tc>
          <w:tcPr>
            <w:tcW w:w="2962" w:type="dxa"/>
          </w:tcPr>
          <w:p w14:paraId="72B28AE9" w14:textId="3D74BAFA" w:rsidR="004160FC" w:rsidRPr="00C56304" w:rsidRDefault="004160FC" w:rsidP="00EF3DCC">
            <w:pPr>
              <w:pStyle w:val="Heading2"/>
              <w:numPr>
                <w:ilvl w:val="0"/>
                <w:numId w:val="37"/>
              </w:numPr>
              <w:ind w:left="455"/>
              <w:outlineLvl w:val="1"/>
              <w:rPr>
                <w:sz w:val="20"/>
                <w:szCs w:val="20"/>
              </w:rPr>
            </w:pPr>
            <w:bookmarkStart w:id="168" w:name="_Toc4661868"/>
            <w:bookmarkStart w:id="169" w:name="_Toc17104646"/>
            <w:r w:rsidRPr="00C56304">
              <w:rPr>
                <w:sz w:val="20"/>
                <w:szCs w:val="20"/>
              </w:rPr>
              <w:t>Diving work - other</w:t>
            </w:r>
            <w:bookmarkEnd w:id="168"/>
            <w:bookmarkEnd w:id="169"/>
          </w:p>
          <w:p w14:paraId="72B28AEA" w14:textId="77777777" w:rsidR="004160FC" w:rsidRPr="00C56304" w:rsidRDefault="004160FC" w:rsidP="00EF3DCC">
            <w:pPr>
              <w:pStyle w:val="Heading2"/>
              <w:ind w:left="455"/>
              <w:outlineLvl w:val="1"/>
              <w:rPr>
                <w:sz w:val="20"/>
                <w:szCs w:val="20"/>
              </w:rPr>
            </w:pPr>
          </w:p>
        </w:tc>
        <w:tc>
          <w:tcPr>
            <w:tcW w:w="3365" w:type="dxa"/>
          </w:tcPr>
          <w:p w14:paraId="72B28AEB" w14:textId="4DB459A9" w:rsidR="004160FC" w:rsidRPr="00C56304" w:rsidRDefault="004160FC" w:rsidP="00EF3DCC">
            <w:pPr>
              <w:pStyle w:val="NoSpacing"/>
              <w:jc w:val="left"/>
              <w:rPr>
                <w:rFonts w:cs="Arial"/>
                <w:sz w:val="20"/>
                <w:szCs w:val="20"/>
              </w:rPr>
            </w:pPr>
            <w:r w:rsidRPr="00C56304">
              <w:rPr>
                <w:rFonts w:cs="Arial"/>
                <w:bCs/>
                <w:sz w:val="20"/>
                <w:szCs w:val="20"/>
                <w:lang w:val="en"/>
              </w:rPr>
              <w:t>Other types of diving work prescribed in the model WHS regulati</w:t>
            </w:r>
            <w:r w:rsidR="009E6FF6">
              <w:rPr>
                <w:rFonts w:cs="Arial"/>
                <w:bCs/>
                <w:sz w:val="20"/>
                <w:szCs w:val="20"/>
                <w:lang w:val="en"/>
              </w:rPr>
              <w:t>ons include general diving work</w:t>
            </w:r>
            <w:r w:rsidRPr="00C56304">
              <w:rPr>
                <w:rFonts w:cs="Arial"/>
                <w:bCs/>
                <w:sz w:val="20"/>
                <w:szCs w:val="20"/>
                <w:lang w:val="en"/>
              </w:rPr>
              <w:t xml:space="preserve"> and limited scientific diving work.  Minimum requirements for competency, supervision, medical certification and record keeping are prescribed for these types of diving.  </w:t>
            </w:r>
          </w:p>
        </w:tc>
        <w:tc>
          <w:tcPr>
            <w:tcW w:w="2962" w:type="dxa"/>
          </w:tcPr>
          <w:p w14:paraId="72B28AEC" w14:textId="7F8971DE" w:rsidR="004160FC" w:rsidRPr="00C56304" w:rsidRDefault="004160FC" w:rsidP="00EF3DCC">
            <w:pPr>
              <w:autoSpaceDE w:val="0"/>
              <w:autoSpaceDN w:val="0"/>
              <w:adjustRightInd w:val="0"/>
              <w:spacing w:before="120" w:after="120"/>
              <w:rPr>
                <w:rFonts w:ascii="Arial" w:hAnsi="Arial" w:cs="Arial"/>
                <w:sz w:val="20"/>
                <w:szCs w:val="20"/>
              </w:rPr>
            </w:pPr>
            <w:r w:rsidRPr="00C56304">
              <w:rPr>
                <w:rFonts w:ascii="Arial" w:hAnsi="Arial" w:cs="Arial"/>
                <w:bCs/>
                <w:sz w:val="20"/>
                <w:szCs w:val="20"/>
                <w:lang w:val="en"/>
              </w:rPr>
              <w:t>General duty to provide safe systems of work apply</w:t>
            </w:r>
            <w:r w:rsidR="009E6FF6">
              <w:rPr>
                <w:rFonts w:ascii="Arial" w:hAnsi="Arial" w:cs="Arial"/>
                <w:bCs/>
                <w:sz w:val="20"/>
                <w:szCs w:val="20"/>
                <w:lang w:val="en"/>
              </w:rPr>
              <w:t>.</w:t>
            </w:r>
          </w:p>
        </w:tc>
      </w:tr>
      <w:tr w:rsidR="004160FC" w:rsidRPr="00C56304" w14:paraId="72B28AEF" w14:textId="77777777" w:rsidTr="00EF3DCC">
        <w:trPr>
          <w:trHeight w:val="454"/>
          <w:tblHeader/>
        </w:trPr>
        <w:tc>
          <w:tcPr>
            <w:tcW w:w="9289" w:type="dxa"/>
            <w:gridSpan w:val="3"/>
            <w:shd w:val="clear" w:color="auto" w:fill="006B6E"/>
            <w:vAlign w:val="center"/>
          </w:tcPr>
          <w:p w14:paraId="72B28AEE" w14:textId="48A1DD7E" w:rsidR="004160FC" w:rsidRPr="00AD6D48" w:rsidRDefault="004160FC" w:rsidP="00EF3DCC">
            <w:pPr>
              <w:pStyle w:val="Heading1"/>
              <w:spacing w:before="100" w:beforeAutospacing="1" w:after="100" w:afterAutospacing="1"/>
              <w:outlineLvl w:val="0"/>
              <w:rPr>
                <w:color w:val="FFFFFF" w:themeColor="background1"/>
                <w:sz w:val="20"/>
                <w:szCs w:val="20"/>
              </w:rPr>
            </w:pPr>
            <w:bookmarkStart w:id="170" w:name="_Toc451257426"/>
            <w:bookmarkStart w:id="171" w:name="_Toc451422147"/>
            <w:bookmarkStart w:id="172" w:name="_Toc451437360"/>
            <w:bookmarkStart w:id="173" w:name="_Toc4661869"/>
            <w:bookmarkStart w:id="174" w:name="_Toc17104647"/>
            <w:r w:rsidRPr="00AD6D48">
              <w:rPr>
                <w:color w:val="FFFFFF" w:themeColor="background1"/>
                <w:sz w:val="20"/>
                <w:szCs w:val="20"/>
              </w:rPr>
              <w:t>Chapter Five – Plant and Structures</w:t>
            </w:r>
            <w:bookmarkEnd w:id="170"/>
            <w:bookmarkEnd w:id="171"/>
            <w:bookmarkEnd w:id="172"/>
            <w:bookmarkEnd w:id="173"/>
            <w:bookmarkEnd w:id="174"/>
          </w:p>
        </w:tc>
      </w:tr>
      <w:tr w:rsidR="004160FC" w:rsidRPr="00C56304" w14:paraId="72B28AF8" w14:textId="77777777" w:rsidTr="00EF3DCC">
        <w:trPr>
          <w:tblHeader/>
        </w:trPr>
        <w:tc>
          <w:tcPr>
            <w:tcW w:w="2962" w:type="dxa"/>
          </w:tcPr>
          <w:p w14:paraId="72B28AF0" w14:textId="26702A6E" w:rsidR="004160FC" w:rsidRPr="00C56304" w:rsidRDefault="004160FC" w:rsidP="00EF3DCC">
            <w:pPr>
              <w:pStyle w:val="Heading2"/>
              <w:numPr>
                <w:ilvl w:val="0"/>
                <w:numId w:val="37"/>
              </w:numPr>
              <w:ind w:left="455"/>
              <w:outlineLvl w:val="1"/>
              <w:rPr>
                <w:sz w:val="20"/>
                <w:szCs w:val="20"/>
              </w:rPr>
            </w:pPr>
            <w:bookmarkStart w:id="175" w:name="_Toc4661870"/>
            <w:bookmarkStart w:id="176" w:name="_Toc17104648"/>
            <w:r w:rsidRPr="00C56304">
              <w:rPr>
                <w:sz w:val="20"/>
                <w:szCs w:val="20"/>
              </w:rPr>
              <w:t>Roll-over protection on tractors</w:t>
            </w:r>
            <w:bookmarkEnd w:id="175"/>
            <w:bookmarkEnd w:id="176"/>
          </w:p>
          <w:p w14:paraId="72B28AF1" w14:textId="77777777" w:rsidR="004160FC" w:rsidRPr="00C56304" w:rsidRDefault="004160FC" w:rsidP="00EF3DCC">
            <w:pPr>
              <w:pStyle w:val="Heading2"/>
              <w:ind w:left="455"/>
              <w:outlineLvl w:val="1"/>
              <w:rPr>
                <w:sz w:val="20"/>
                <w:szCs w:val="20"/>
              </w:rPr>
            </w:pPr>
          </w:p>
        </w:tc>
        <w:tc>
          <w:tcPr>
            <w:tcW w:w="3365" w:type="dxa"/>
          </w:tcPr>
          <w:p w14:paraId="72B28AF2" w14:textId="35406C81" w:rsidR="004160FC" w:rsidRPr="00C56304" w:rsidRDefault="004160FC" w:rsidP="00EF3DCC">
            <w:pPr>
              <w:pStyle w:val="NoSpacing"/>
              <w:jc w:val="left"/>
              <w:rPr>
                <w:rFonts w:cs="Arial"/>
                <w:sz w:val="20"/>
                <w:szCs w:val="20"/>
                <w:lang w:eastAsia="en-AU"/>
              </w:rPr>
            </w:pPr>
            <w:r w:rsidRPr="00C56304">
              <w:rPr>
                <w:rFonts w:cs="Arial"/>
                <w:sz w:val="20"/>
                <w:szCs w:val="20"/>
                <w:lang w:eastAsia="en-AU"/>
              </w:rPr>
              <w:t>R. 216 excludes the requirement for a roll over protective structure installed for tractors with a mass of:</w:t>
            </w:r>
          </w:p>
          <w:p w14:paraId="72B28AF3" w14:textId="77777777" w:rsidR="004160FC" w:rsidRPr="00C56304" w:rsidRDefault="004160FC" w:rsidP="00EF3DCC">
            <w:pPr>
              <w:pStyle w:val="NoSpacing"/>
              <w:numPr>
                <w:ilvl w:val="0"/>
                <w:numId w:val="18"/>
              </w:numPr>
              <w:jc w:val="left"/>
              <w:rPr>
                <w:rFonts w:cs="Arial"/>
                <w:bCs/>
                <w:sz w:val="20"/>
                <w:szCs w:val="20"/>
                <w:lang w:val="en"/>
              </w:rPr>
            </w:pPr>
            <w:r w:rsidRPr="00C56304">
              <w:rPr>
                <w:rFonts w:cs="Arial"/>
                <w:sz w:val="20"/>
                <w:szCs w:val="20"/>
                <w:lang w:eastAsia="en-AU"/>
              </w:rPr>
              <w:t xml:space="preserve">less than 560 kilograms; and </w:t>
            </w:r>
          </w:p>
          <w:p w14:paraId="72B28AF4" w14:textId="77777777" w:rsidR="004160FC" w:rsidRPr="00C56304" w:rsidRDefault="004160FC" w:rsidP="00EF3DCC">
            <w:pPr>
              <w:pStyle w:val="NoSpacing"/>
              <w:numPr>
                <w:ilvl w:val="0"/>
                <w:numId w:val="18"/>
              </w:numPr>
              <w:jc w:val="left"/>
              <w:rPr>
                <w:rFonts w:cs="Arial"/>
                <w:bCs/>
                <w:sz w:val="20"/>
                <w:szCs w:val="20"/>
                <w:lang w:val="en"/>
              </w:rPr>
            </w:pPr>
            <w:r w:rsidRPr="00C56304">
              <w:rPr>
                <w:rFonts w:cs="Arial"/>
                <w:sz w:val="20"/>
                <w:szCs w:val="20"/>
                <w:lang w:eastAsia="en-AU"/>
              </w:rPr>
              <w:t xml:space="preserve">15,000 kilograms or more.  </w:t>
            </w:r>
          </w:p>
        </w:tc>
        <w:tc>
          <w:tcPr>
            <w:tcW w:w="2962" w:type="dxa"/>
          </w:tcPr>
          <w:p w14:paraId="72B28AF5" w14:textId="77777777" w:rsidR="004160FC" w:rsidRPr="00C56304" w:rsidRDefault="004160FC" w:rsidP="00EF3DCC">
            <w:pPr>
              <w:autoSpaceDE w:val="0"/>
              <w:autoSpaceDN w:val="0"/>
              <w:adjustRightInd w:val="0"/>
              <w:spacing w:before="120" w:after="120"/>
              <w:rPr>
                <w:rFonts w:ascii="Arial" w:hAnsi="Arial" w:cs="Arial"/>
                <w:sz w:val="20"/>
                <w:szCs w:val="20"/>
                <w:lang w:eastAsia="en-AU"/>
              </w:rPr>
            </w:pPr>
            <w:r w:rsidRPr="00C56304">
              <w:rPr>
                <w:rFonts w:ascii="Arial" w:hAnsi="Arial" w:cs="Arial"/>
                <w:sz w:val="20"/>
                <w:szCs w:val="20"/>
                <w:lang w:eastAsia="en-AU"/>
              </w:rPr>
              <w:t>The thresholds in r. 4.45 are:</w:t>
            </w:r>
          </w:p>
          <w:p w14:paraId="72B28AF6" w14:textId="77777777" w:rsidR="004160FC" w:rsidRPr="00C56304" w:rsidRDefault="004160FC" w:rsidP="00EF3DCC">
            <w:pPr>
              <w:pStyle w:val="ListParagraph"/>
              <w:numPr>
                <w:ilvl w:val="0"/>
                <w:numId w:val="19"/>
              </w:numPr>
              <w:autoSpaceDE w:val="0"/>
              <w:autoSpaceDN w:val="0"/>
              <w:adjustRightInd w:val="0"/>
              <w:spacing w:before="120" w:after="120"/>
              <w:rPr>
                <w:rFonts w:ascii="Arial" w:hAnsi="Arial" w:cs="Arial"/>
                <w:sz w:val="20"/>
                <w:szCs w:val="20"/>
                <w:lang w:eastAsia="en-AU"/>
              </w:rPr>
            </w:pPr>
            <w:r w:rsidRPr="00C56304">
              <w:rPr>
                <w:rFonts w:ascii="Arial" w:hAnsi="Arial" w:cs="Arial"/>
                <w:sz w:val="20"/>
                <w:szCs w:val="20"/>
                <w:lang w:eastAsia="en-AU"/>
              </w:rPr>
              <w:t xml:space="preserve">less than 800 kilograms; and </w:t>
            </w:r>
          </w:p>
          <w:p w14:paraId="72B28AF7" w14:textId="3498A369" w:rsidR="004160FC" w:rsidRPr="00C56304" w:rsidRDefault="004160FC" w:rsidP="00EF3DCC">
            <w:pPr>
              <w:pStyle w:val="ListParagraph"/>
              <w:numPr>
                <w:ilvl w:val="0"/>
                <w:numId w:val="19"/>
              </w:numPr>
              <w:autoSpaceDE w:val="0"/>
              <w:autoSpaceDN w:val="0"/>
              <w:adjustRightInd w:val="0"/>
              <w:spacing w:before="120" w:after="120"/>
              <w:rPr>
                <w:rFonts w:ascii="Arial" w:hAnsi="Arial" w:cs="Arial"/>
                <w:bCs/>
                <w:sz w:val="20"/>
                <w:szCs w:val="20"/>
                <w:lang w:val="en"/>
              </w:rPr>
            </w:pPr>
            <w:r w:rsidRPr="00C56304">
              <w:rPr>
                <w:rFonts w:ascii="Arial" w:hAnsi="Arial" w:cs="Arial"/>
                <w:sz w:val="20"/>
                <w:szCs w:val="20"/>
                <w:lang w:eastAsia="en-AU"/>
              </w:rPr>
              <w:t>more than 15,000 kilograms</w:t>
            </w:r>
            <w:r w:rsidR="009E6FF6">
              <w:rPr>
                <w:rFonts w:ascii="Arial" w:hAnsi="Arial" w:cs="Arial"/>
                <w:sz w:val="20"/>
                <w:szCs w:val="20"/>
                <w:lang w:eastAsia="en-AU"/>
              </w:rPr>
              <w:t>.</w:t>
            </w:r>
          </w:p>
        </w:tc>
      </w:tr>
      <w:tr w:rsidR="004160FC" w:rsidRPr="00C56304" w14:paraId="72B28AFD" w14:textId="77777777" w:rsidTr="00EF3DCC">
        <w:trPr>
          <w:tblHeader/>
        </w:trPr>
        <w:tc>
          <w:tcPr>
            <w:tcW w:w="2962" w:type="dxa"/>
          </w:tcPr>
          <w:p w14:paraId="72B28AF9" w14:textId="48779A83" w:rsidR="004160FC" w:rsidRPr="00C56304" w:rsidRDefault="004160FC" w:rsidP="00EF3DCC">
            <w:pPr>
              <w:pStyle w:val="Heading2"/>
              <w:numPr>
                <w:ilvl w:val="0"/>
                <w:numId w:val="37"/>
              </w:numPr>
              <w:ind w:left="455"/>
              <w:outlineLvl w:val="1"/>
              <w:rPr>
                <w:sz w:val="20"/>
                <w:szCs w:val="20"/>
              </w:rPr>
            </w:pPr>
            <w:bookmarkStart w:id="177" w:name="_Toc4661871"/>
            <w:bookmarkStart w:id="178" w:name="_Toc17104649"/>
            <w:r w:rsidRPr="00C56304">
              <w:rPr>
                <w:sz w:val="20"/>
                <w:szCs w:val="20"/>
              </w:rPr>
              <w:t>Tree lopping</w:t>
            </w:r>
            <w:bookmarkEnd w:id="177"/>
            <w:bookmarkEnd w:id="178"/>
          </w:p>
          <w:p w14:paraId="72B28AFA" w14:textId="77777777" w:rsidR="004160FC" w:rsidRPr="00C56304" w:rsidRDefault="004160FC" w:rsidP="00EF3DCC">
            <w:pPr>
              <w:pStyle w:val="Heading2"/>
              <w:ind w:left="455"/>
              <w:outlineLvl w:val="1"/>
              <w:rPr>
                <w:sz w:val="20"/>
                <w:szCs w:val="20"/>
              </w:rPr>
            </w:pPr>
          </w:p>
        </w:tc>
        <w:tc>
          <w:tcPr>
            <w:tcW w:w="3365" w:type="dxa"/>
          </w:tcPr>
          <w:p w14:paraId="72B28AFB" w14:textId="77777777" w:rsidR="004160FC" w:rsidRPr="00C56304" w:rsidRDefault="004160FC" w:rsidP="00EF3DCC">
            <w:pPr>
              <w:pStyle w:val="NoSpacing"/>
              <w:jc w:val="left"/>
              <w:rPr>
                <w:rFonts w:cs="Arial"/>
                <w:sz w:val="20"/>
                <w:szCs w:val="20"/>
                <w:lang w:eastAsia="en-AU"/>
              </w:rPr>
            </w:pPr>
            <w:r w:rsidRPr="00C56304">
              <w:rPr>
                <w:rFonts w:cs="Arial"/>
                <w:sz w:val="20"/>
                <w:szCs w:val="20"/>
                <w:lang w:eastAsia="en-AU"/>
              </w:rPr>
              <w:t xml:space="preserve">R. 221 provides an exception for tree loppers from the requirement to work from a work box under certain conditions.  </w:t>
            </w:r>
          </w:p>
        </w:tc>
        <w:tc>
          <w:tcPr>
            <w:tcW w:w="2962" w:type="dxa"/>
          </w:tcPr>
          <w:p w14:paraId="72B28AFC" w14:textId="17D46DD6" w:rsidR="004160FC" w:rsidRPr="00C56304" w:rsidRDefault="004160FC" w:rsidP="00EF3DCC">
            <w:pPr>
              <w:autoSpaceDE w:val="0"/>
              <w:autoSpaceDN w:val="0"/>
              <w:adjustRightInd w:val="0"/>
              <w:spacing w:before="120" w:after="120"/>
              <w:rPr>
                <w:rFonts w:ascii="Arial" w:hAnsi="Arial" w:cs="Arial"/>
                <w:sz w:val="20"/>
                <w:szCs w:val="20"/>
                <w:lang w:eastAsia="en-AU"/>
              </w:rPr>
            </w:pPr>
            <w:r w:rsidRPr="00A26BFB">
              <w:rPr>
                <w:rFonts w:ascii="Arial" w:eastAsiaTheme="minorHAnsi" w:hAnsi="Arial" w:cs="Arial"/>
                <w:sz w:val="20"/>
                <w:szCs w:val="20"/>
              </w:rPr>
              <w:t>This w</w:t>
            </w:r>
            <w:r>
              <w:rPr>
                <w:rFonts w:ascii="Arial" w:eastAsiaTheme="minorHAnsi" w:hAnsi="Arial" w:cs="Arial"/>
                <w:sz w:val="20"/>
                <w:szCs w:val="20"/>
              </w:rPr>
              <w:t xml:space="preserve">ork practice is not permitted. </w:t>
            </w:r>
            <w:r w:rsidRPr="00A26BFB">
              <w:rPr>
                <w:rFonts w:ascii="Arial" w:eastAsiaTheme="minorHAnsi" w:hAnsi="Arial" w:cs="Arial"/>
                <w:sz w:val="20"/>
                <w:szCs w:val="20"/>
              </w:rPr>
              <w:t>The Commission has endorsed consideration of the WHS regulations for Western Australia being amended to be consistent with the OSH regulations.</w:t>
            </w:r>
            <w:r>
              <w:rPr>
                <w:rFonts w:ascii="Arial" w:hAnsi="Arial" w:cs="Arial"/>
                <w:lang w:eastAsia="en-AU"/>
              </w:rPr>
              <w:t xml:space="preserve">  </w:t>
            </w:r>
          </w:p>
        </w:tc>
      </w:tr>
      <w:tr w:rsidR="004160FC" w:rsidRPr="00C56304" w14:paraId="72B28B04" w14:textId="77777777" w:rsidTr="00EF3DCC">
        <w:trPr>
          <w:tblHeader/>
        </w:trPr>
        <w:tc>
          <w:tcPr>
            <w:tcW w:w="2962" w:type="dxa"/>
          </w:tcPr>
          <w:p w14:paraId="72B28AFE" w14:textId="751D1398" w:rsidR="004160FC" w:rsidRPr="00C56304" w:rsidRDefault="004160FC" w:rsidP="00EF3DCC">
            <w:pPr>
              <w:pStyle w:val="Heading2"/>
              <w:numPr>
                <w:ilvl w:val="0"/>
                <w:numId w:val="37"/>
              </w:numPr>
              <w:ind w:left="455"/>
              <w:outlineLvl w:val="1"/>
              <w:rPr>
                <w:sz w:val="20"/>
                <w:szCs w:val="20"/>
              </w:rPr>
            </w:pPr>
            <w:bookmarkStart w:id="179" w:name="_Toc4661872"/>
            <w:bookmarkStart w:id="180" w:name="_Toc17104650"/>
            <w:r w:rsidRPr="00C56304">
              <w:rPr>
                <w:sz w:val="20"/>
                <w:szCs w:val="20"/>
              </w:rPr>
              <w:t>Retention of records - plant</w:t>
            </w:r>
            <w:bookmarkEnd w:id="179"/>
            <w:bookmarkEnd w:id="180"/>
          </w:p>
          <w:p w14:paraId="72B28AFF" w14:textId="77777777" w:rsidR="004160FC" w:rsidRPr="00C56304" w:rsidRDefault="004160FC" w:rsidP="00EF3DCC">
            <w:pPr>
              <w:pStyle w:val="NoSpacing"/>
              <w:ind w:left="455"/>
              <w:jc w:val="left"/>
              <w:rPr>
                <w:sz w:val="20"/>
                <w:szCs w:val="20"/>
              </w:rPr>
            </w:pPr>
          </w:p>
          <w:p w14:paraId="72B28B00" w14:textId="77777777" w:rsidR="004160FC" w:rsidRPr="00C56304" w:rsidRDefault="004160FC" w:rsidP="00EF3DCC">
            <w:pPr>
              <w:pStyle w:val="Heading2"/>
              <w:ind w:left="455"/>
              <w:outlineLvl w:val="1"/>
              <w:rPr>
                <w:sz w:val="20"/>
                <w:szCs w:val="20"/>
                <w:lang w:eastAsia="en-AU"/>
              </w:rPr>
            </w:pPr>
          </w:p>
        </w:tc>
        <w:tc>
          <w:tcPr>
            <w:tcW w:w="3365" w:type="dxa"/>
          </w:tcPr>
          <w:p w14:paraId="72B28B01" w14:textId="77777777" w:rsidR="004160FC" w:rsidRPr="00C56304" w:rsidRDefault="004160FC" w:rsidP="00EF3DCC">
            <w:pPr>
              <w:pStyle w:val="NoSpacing"/>
              <w:jc w:val="left"/>
              <w:rPr>
                <w:rFonts w:cs="Arial"/>
                <w:sz w:val="20"/>
                <w:szCs w:val="20"/>
              </w:rPr>
            </w:pPr>
            <w:r w:rsidRPr="00C56304">
              <w:rPr>
                <w:rFonts w:cs="Arial"/>
                <w:sz w:val="20"/>
                <w:szCs w:val="20"/>
              </w:rPr>
              <w:t xml:space="preserve">R. 226 requires that records of plant with presence sensing safeguard systems must be kept for a specified time, with a maximum period set by regulation 226(2)(a) of five years.  </w:t>
            </w:r>
          </w:p>
          <w:p w14:paraId="72B28B02" w14:textId="77777777" w:rsidR="004160FC" w:rsidRPr="00C56304" w:rsidRDefault="004160FC" w:rsidP="00EF3DCC">
            <w:pPr>
              <w:pStyle w:val="NoSpacing"/>
              <w:jc w:val="left"/>
              <w:rPr>
                <w:rFonts w:cs="Arial"/>
                <w:sz w:val="20"/>
                <w:szCs w:val="20"/>
              </w:rPr>
            </w:pPr>
            <w:r w:rsidRPr="00C56304">
              <w:rPr>
                <w:rFonts w:cs="Arial"/>
                <w:sz w:val="20"/>
                <w:szCs w:val="20"/>
              </w:rPr>
              <w:t xml:space="preserve">R. 237 requires that the record must be kept for the period that the plant registered under Part 5.3 is used or until the person relinquishes control of the plant.  Some plant with presence sensing safeguard systems may also be </w:t>
            </w:r>
            <w:r w:rsidRPr="00C56304">
              <w:rPr>
                <w:rFonts w:cs="Arial"/>
                <w:sz w:val="20"/>
                <w:szCs w:val="20"/>
              </w:rPr>
              <w:lastRenderedPageBreak/>
              <w:t xml:space="preserve">registered under Part 5.3 of the WHS regulations and there may be a conflict in the requirements.  </w:t>
            </w:r>
          </w:p>
        </w:tc>
        <w:tc>
          <w:tcPr>
            <w:tcW w:w="2962" w:type="dxa"/>
          </w:tcPr>
          <w:p w14:paraId="72B28B03" w14:textId="77777777" w:rsidR="004160FC" w:rsidRPr="00C56304" w:rsidRDefault="004160FC" w:rsidP="00EF3DCC">
            <w:pPr>
              <w:pStyle w:val="NoSpacing"/>
              <w:jc w:val="left"/>
              <w:rPr>
                <w:rFonts w:cs="Arial"/>
                <w:sz w:val="20"/>
                <w:szCs w:val="20"/>
              </w:rPr>
            </w:pPr>
            <w:r w:rsidRPr="00C56304">
              <w:rPr>
                <w:rFonts w:cs="Arial"/>
                <w:sz w:val="20"/>
                <w:szCs w:val="20"/>
              </w:rPr>
              <w:lastRenderedPageBreak/>
              <w:t>R. 4.34 requires that a record is made and kept of any maintenance, inspection, commissioning, and alteration of the plant or test results.  These records must be made accessible at all reasonable times and must be retained while the plant remains under control of the duty holder.  There is no prescribed requirement for records to be kept for five years.</w:t>
            </w:r>
          </w:p>
        </w:tc>
      </w:tr>
      <w:tr w:rsidR="004160FC" w:rsidRPr="00C56304" w14:paraId="72B28B0B" w14:textId="77777777" w:rsidTr="00EF3DCC">
        <w:trPr>
          <w:tblHeader/>
        </w:trPr>
        <w:tc>
          <w:tcPr>
            <w:tcW w:w="2962" w:type="dxa"/>
          </w:tcPr>
          <w:p w14:paraId="72B28B05" w14:textId="47108C9F" w:rsidR="004160FC" w:rsidRPr="00C56304" w:rsidRDefault="004160FC" w:rsidP="00EF3DCC">
            <w:pPr>
              <w:pStyle w:val="Heading2"/>
              <w:numPr>
                <w:ilvl w:val="0"/>
                <w:numId w:val="37"/>
              </w:numPr>
              <w:ind w:left="455"/>
              <w:outlineLvl w:val="1"/>
              <w:rPr>
                <w:sz w:val="20"/>
                <w:szCs w:val="20"/>
                <w:lang w:eastAsia="en-AU"/>
              </w:rPr>
            </w:pPr>
            <w:bookmarkStart w:id="181" w:name="_Toc4661873"/>
            <w:bookmarkStart w:id="182" w:name="_Toc17104651"/>
            <w:r w:rsidRPr="00C56304">
              <w:rPr>
                <w:sz w:val="20"/>
                <w:szCs w:val="20"/>
                <w:lang w:eastAsia="en-AU"/>
              </w:rPr>
              <w:t xml:space="preserve">Duties of a </w:t>
            </w:r>
            <w:r w:rsidRPr="00C56304">
              <w:rPr>
                <w:sz w:val="20"/>
                <w:szCs w:val="20"/>
              </w:rPr>
              <w:t>person</w:t>
            </w:r>
            <w:r w:rsidRPr="00C56304">
              <w:rPr>
                <w:sz w:val="20"/>
                <w:szCs w:val="20"/>
                <w:lang w:eastAsia="en-AU"/>
              </w:rPr>
              <w:t xml:space="preserve"> conducting a business or undertaking involving the management or control of plant – Major inspection</w:t>
            </w:r>
            <w:bookmarkEnd w:id="181"/>
            <w:bookmarkEnd w:id="182"/>
          </w:p>
          <w:p w14:paraId="72B28B06" w14:textId="77777777" w:rsidR="004160FC" w:rsidRPr="00C56304" w:rsidRDefault="004160FC" w:rsidP="00EF3DCC">
            <w:pPr>
              <w:pStyle w:val="Heading2"/>
              <w:ind w:left="455"/>
              <w:outlineLvl w:val="1"/>
              <w:rPr>
                <w:sz w:val="20"/>
                <w:szCs w:val="20"/>
              </w:rPr>
            </w:pPr>
          </w:p>
        </w:tc>
        <w:tc>
          <w:tcPr>
            <w:tcW w:w="3365" w:type="dxa"/>
          </w:tcPr>
          <w:p w14:paraId="72B28B07" w14:textId="327A453B" w:rsidR="004160FC" w:rsidRPr="00C56304" w:rsidRDefault="004160FC" w:rsidP="00EF3DCC">
            <w:pPr>
              <w:pStyle w:val="NoSpacing"/>
              <w:jc w:val="left"/>
              <w:rPr>
                <w:rFonts w:cs="Arial"/>
                <w:sz w:val="20"/>
                <w:szCs w:val="20"/>
                <w:lang w:eastAsia="en-AU"/>
              </w:rPr>
            </w:pPr>
            <w:r w:rsidRPr="00C56304">
              <w:rPr>
                <w:rFonts w:cs="Arial"/>
                <w:sz w:val="20"/>
                <w:szCs w:val="20"/>
              </w:rPr>
              <w:t xml:space="preserve">Regulations 235 and 241 provide requirements for the major inspection of registered mobile cranes and tower cranes, and the annual inspection of amusement devices.  </w:t>
            </w:r>
          </w:p>
        </w:tc>
        <w:tc>
          <w:tcPr>
            <w:tcW w:w="2962" w:type="dxa"/>
          </w:tcPr>
          <w:p w14:paraId="72B28B09" w14:textId="77777777" w:rsidR="004160FC" w:rsidRPr="00C56304" w:rsidRDefault="004160FC" w:rsidP="00EF3DCC">
            <w:pPr>
              <w:pStyle w:val="NoSpacing"/>
              <w:jc w:val="left"/>
              <w:rPr>
                <w:rFonts w:cs="Arial"/>
                <w:sz w:val="20"/>
                <w:szCs w:val="20"/>
              </w:rPr>
            </w:pPr>
            <w:r w:rsidRPr="00C56304">
              <w:rPr>
                <w:rFonts w:cs="Arial"/>
                <w:sz w:val="20"/>
                <w:szCs w:val="20"/>
              </w:rPr>
              <w:t xml:space="preserve">R. 4.54(4)(a) requires that a crane, hoists or building maintenance unit is maintained, inspected or manufactured and operated in accordance with the written instructions of the designer or manufacturer.  </w:t>
            </w:r>
          </w:p>
          <w:p w14:paraId="72B28B0A" w14:textId="77777777" w:rsidR="004160FC" w:rsidRPr="00C56304" w:rsidRDefault="004160FC" w:rsidP="00EF3DCC">
            <w:pPr>
              <w:pStyle w:val="NoSpacing"/>
              <w:jc w:val="left"/>
              <w:rPr>
                <w:rFonts w:cs="Arial"/>
                <w:sz w:val="20"/>
                <w:szCs w:val="20"/>
                <w:lang w:eastAsia="en-AU"/>
              </w:rPr>
            </w:pPr>
            <w:r w:rsidRPr="00C56304">
              <w:rPr>
                <w:rFonts w:cs="Arial"/>
                <w:sz w:val="20"/>
                <w:szCs w:val="20"/>
              </w:rPr>
              <w:t>In relation to amusement structures, r. 4.52 requires that the structure is operated, maintained and inspected in accordance with AS 3533 Amusement Rides and Devices (AS3533).  The training/qualifications/ experience for inspection in AS3533.2 1997 includes a requirement that the person “… should possess formal engineering qualifications and experience similar to those of the designer (see AS 3533.1) ….”.</w:t>
            </w:r>
          </w:p>
        </w:tc>
      </w:tr>
      <w:tr w:rsidR="004160FC" w:rsidRPr="00C56304" w14:paraId="72B28B1A" w14:textId="77777777" w:rsidTr="00EF3DCC">
        <w:trPr>
          <w:tblHeader/>
        </w:trPr>
        <w:tc>
          <w:tcPr>
            <w:tcW w:w="2962" w:type="dxa"/>
          </w:tcPr>
          <w:p w14:paraId="72B28B0C" w14:textId="2E4A65C9" w:rsidR="004160FC" w:rsidRPr="00C56304" w:rsidRDefault="004160FC" w:rsidP="00EF3DCC">
            <w:pPr>
              <w:pStyle w:val="Heading2"/>
              <w:numPr>
                <w:ilvl w:val="0"/>
                <w:numId w:val="37"/>
              </w:numPr>
              <w:ind w:left="455"/>
              <w:outlineLvl w:val="1"/>
              <w:rPr>
                <w:sz w:val="20"/>
                <w:szCs w:val="20"/>
                <w:lang w:eastAsia="en-AU"/>
              </w:rPr>
            </w:pPr>
            <w:bookmarkStart w:id="183" w:name="_Toc4661874"/>
            <w:bookmarkStart w:id="184" w:name="_Toc17104652"/>
            <w:r w:rsidRPr="00C56304">
              <w:rPr>
                <w:sz w:val="20"/>
                <w:szCs w:val="20"/>
                <w:lang w:eastAsia="en-AU"/>
              </w:rPr>
              <w:t xml:space="preserve">Duties of a </w:t>
            </w:r>
            <w:r w:rsidRPr="00C56304">
              <w:rPr>
                <w:sz w:val="20"/>
                <w:szCs w:val="20"/>
              </w:rPr>
              <w:t>person</w:t>
            </w:r>
            <w:r w:rsidRPr="00C56304">
              <w:rPr>
                <w:sz w:val="20"/>
                <w:szCs w:val="20"/>
                <w:lang w:eastAsia="en-AU"/>
              </w:rPr>
              <w:t xml:space="preserve"> conducting a business or undertaking involving the management or control of plant – Competent person</w:t>
            </w:r>
            <w:bookmarkEnd w:id="183"/>
            <w:bookmarkEnd w:id="184"/>
          </w:p>
          <w:p w14:paraId="72B28B0D" w14:textId="77777777" w:rsidR="004160FC" w:rsidRPr="00C56304" w:rsidRDefault="004160FC" w:rsidP="00EF3DCC">
            <w:pPr>
              <w:pStyle w:val="Heading2"/>
              <w:ind w:left="455"/>
              <w:outlineLvl w:val="1"/>
              <w:rPr>
                <w:sz w:val="20"/>
                <w:szCs w:val="20"/>
                <w:lang w:eastAsia="en-AU"/>
              </w:rPr>
            </w:pPr>
          </w:p>
        </w:tc>
        <w:tc>
          <w:tcPr>
            <w:tcW w:w="3365" w:type="dxa"/>
          </w:tcPr>
          <w:p w14:paraId="72B28B0E" w14:textId="77777777" w:rsidR="004160FC" w:rsidRPr="00C56304" w:rsidRDefault="004160FC" w:rsidP="00EF3DCC">
            <w:pPr>
              <w:pStyle w:val="NoSpacing"/>
              <w:jc w:val="left"/>
              <w:rPr>
                <w:rFonts w:cs="Arial"/>
                <w:sz w:val="20"/>
                <w:szCs w:val="20"/>
              </w:rPr>
            </w:pPr>
            <w:r w:rsidRPr="00C56304">
              <w:rPr>
                <w:rFonts w:cs="Arial"/>
                <w:sz w:val="20"/>
                <w:szCs w:val="20"/>
              </w:rPr>
              <w:t xml:space="preserve">The </w:t>
            </w:r>
            <w:r w:rsidRPr="00C56304">
              <w:rPr>
                <w:rFonts w:cs="Arial"/>
                <w:b/>
                <w:i/>
                <w:sz w:val="20"/>
                <w:szCs w:val="20"/>
              </w:rPr>
              <w:t>competent person</w:t>
            </w:r>
            <w:r w:rsidRPr="00C56304">
              <w:rPr>
                <w:rFonts w:cs="Arial"/>
                <w:sz w:val="20"/>
                <w:szCs w:val="20"/>
              </w:rPr>
              <w:t xml:space="preserve"> as defined in regulations 235 and 241 includes the requirement that the person is:</w:t>
            </w:r>
          </w:p>
          <w:p w14:paraId="72B28B0F" w14:textId="77777777" w:rsidR="004160FC" w:rsidRPr="00C56304" w:rsidRDefault="004160FC" w:rsidP="00EF3DCC">
            <w:pPr>
              <w:pStyle w:val="NoSpacing"/>
              <w:numPr>
                <w:ilvl w:val="0"/>
                <w:numId w:val="25"/>
              </w:numPr>
              <w:tabs>
                <w:tab w:val="clear" w:pos="720"/>
                <w:tab w:val="num" w:pos="360"/>
              </w:tabs>
              <w:ind w:left="335" w:hanging="335"/>
              <w:jc w:val="left"/>
              <w:rPr>
                <w:rFonts w:cs="Arial"/>
                <w:sz w:val="20"/>
                <w:szCs w:val="20"/>
              </w:rPr>
            </w:pPr>
            <w:r w:rsidRPr="00C56304">
              <w:rPr>
                <w:rFonts w:cs="Arial"/>
                <w:sz w:val="20"/>
                <w:szCs w:val="20"/>
              </w:rPr>
              <w:t>registered under a law that provides for the registration of professional engineers; or</w:t>
            </w:r>
          </w:p>
          <w:p w14:paraId="72B28B10" w14:textId="77777777" w:rsidR="004160FC" w:rsidRPr="00C56304" w:rsidRDefault="004160FC" w:rsidP="00EF3DCC">
            <w:pPr>
              <w:pStyle w:val="NoSpacing"/>
              <w:numPr>
                <w:ilvl w:val="0"/>
                <w:numId w:val="25"/>
              </w:numPr>
              <w:tabs>
                <w:tab w:val="clear" w:pos="720"/>
                <w:tab w:val="num" w:pos="360"/>
              </w:tabs>
              <w:ind w:left="335" w:hanging="335"/>
              <w:jc w:val="left"/>
              <w:rPr>
                <w:rFonts w:cs="Arial"/>
                <w:sz w:val="20"/>
                <w:szCs w:val="20"/>
              </w:rPr>
            </w:pPr>
            <w:r w:rsidRPr="00C56304">
              <w:rPr>
                <w:rFonts w:cs="Arial"/>
                <w:sz w:val="20"/>
                <w:szCs w:val="20"/>
              </w:rPr>
              <w:t xml:space="preserve">determined by the regulator to be a competent person.  </w:t>
            </w:r>
          </w:p>
          <w:p w14:paraId="72B28B11" w14:textId="77777777" w:rsidR="004160FC" w:rsidRPr="00C56304" w:rsidRDefault="004160FC" w:rsidP="00EF3DCC">
            <w:pPr>
              <w:pStyle w:val="NoSpacing"/>
              <w:jc w:val="left"/>
              <w:rPr>
                <w:rFonts w:cs="Arial"/>
                <w:sz w:val="20"/>
                <w:szCs w:val="20"/>
                <w:lang w:eastAsia="en-AU"/>
              </w:rPr>
            </w:pPr>
            <w:r w:rsidRPr="00C56304">
              <w:rPr>
                <w:rFonts w:cs="Arial"/>
                <w:sz w:val="20"/>
                <w:szCs w:val="20"/>
                <w:lang w:eastAsia="en-AU"/>
              </w:rPr>
              <w:t>The jurisdictional notes acknowledge that not all jurisdictions register engineers.  NSW has amended the relevant sub-regulations as follows:</w:t>
            </w:r>
          </w:p>
          <w:p w14:paraId="72B28B12" w14:textId="77777777" w:rsidR="004160FC" w:rsidRPr="00C56304" w:rsidRDefault="004160FC" w:rsidP="00EF3DCC">
            <w:pPr>
              <w:pStyle w:val="NoSpacing"/>
              <w:ind w:left="619" w:hanging="284"/>
              <w:jc w:val="left"/>
              <w:rPr>
                <w:rFonts w:cs="Arial"/>
                <w:sz w:val="20"/>
                <w:szCs w:val="20"/>
                <w:lang w:eastAsia="en-AU"/>
              </w:rPr>
            </w:pPr>
            <w:r w:rsidRPr="00C56304">
              <w:rPr>
                <w:rFonts w:cs="Arial"/>
                <w:sz w:val="20"/>
                <w:szCs w:val="20"/>
                <w:lang w:eastAsia="en-AU"/>
              </w:rPr>
              <w:t>A</w:t>
            </w:r>
            <w:r w:rsidRPr="00C56304">
              <w:rPr>
                <w:rFonts w:cs="Arial"/>
                <w:sz w:val="20"/>
                <w:szCs w:val="20"/>
                <w:lang w:eastAsia="en-AU"/>
              </w:rPr>
              <w:tab/>
              <w:t>registered under a law that provides for the registration of professional engineers; or</w:t>
            </w:r>
          </w:p>
          <w:p w14:paraId="72B28B13" w14:textId="77777777" w:rsidR="004160FC" w:rsidRPr="00C56304" w:rsidRDefault="004160FC" w:rsidP="00EF3DCC">
            <w:pPr>
              <w:pStyle w:val="NoSpacing"/>
              <w:ind w:left="619" w:hanging="284"/>
              <w:jc w:val="left"/>
              <w:rPr>
                <w:rFonts w:cs="Arial"/>
                <w:sz w:val="20"/>
                <w:szCs w:val="20"/>
                <w:lang w:eastAsia="en-AU"/>
              </w:rPr>
            </w:pPr>
            <w:r w:rsidRPr="00C56304">
              <w:rPr>
                <w:rFonts w:cs="Arial"/>
                <w:sz w:val="20"/>
                <w:szCs w:val="20"/>
                <w:lang w:eastAsia="en-AU"/>
              </w:rPr>
              <w:t>B</w:t>
            </w:r>
            <w:r w:rsidRPr="00C56304">
              <w:rPr>
                <w:rFonts w:cs="Arial"/>
                <w:sz w:val="20"/>
                <w:szCs w:val="20"/>
                <w:lang w:eastAsia="en-AU"/>
              </w:rPr>
              <w:tab/>
              <w:t>a member (or is qualified to be a member) of Engineers Australia with the status of Chartered Professional Engineer; or</w:t>
            </w:r>
          </w:p>
          <w:p w14:paraId="72B28B14" w14:textId="77777777" w:rsidR="004160FC" w:rsidRPr="00C56304" w:rsidRDefault="004160FC" w:rsidP="00EF3DCC">
            <w:pPr>
              <w:pStyle w:val="NoSpacing"/>
              <w:ind w:left="619" w:hanging="284"/>
              <w:jc w:val="left"/>
              <w:rPr>
                <w:rFonts w:cs="Arial"/>
                <w:sz w:val="20"/>
                <w:szCs w:val="20"/>
              </w:rPr>
            </w:pPr>
            <w:r w:rsidRPr="00C56304">
              <w:rPr>
                <w:rFonts w:cs="Arial"/>
                <w:sz w:val="20"/>
                <w:szCs w:val="20"/>
                <w:lang w:eastAsia="en-AU"/>
              </w:rPr>
              <w:t>C</w:t>
            </w:r>
            <w:r w:rsidRPr="00C56304">
              <w:rPr>
                <w:rFonts w:cs="Arial"/>
                <w:sz w:val="20"/>
                <w:szCs w:val="20"/>
                <w:lang w:eastAsia="en-AU"/>
              </w:rPr>
              <w:tab/>
              <w:t>entered on the National Professional Engineers Register administered by the Institution of Engineers Australia,</w:t>
            </w:r>
          </w:p>
        </w:tc>
        <w:tc>
          <w:tcPr>
            <w:tcW w:w="2962" w:type="dxa"/>
          </w:tcPr>
          <w:p w14:paraId="72B28B15" w14:textId="77777777" w:rsidR="004160FC" w:rsidRPr="00C56304" w:rsidRDefault="004160FC" w:rsidP="00EF3DCC">
            <w:pPr>
              <w:pStyle w:val="NoSpacing"/>
              <w:jc w:val="left"/>
              <w:rPr>
                <w:rFonts w:cs="Arial"/>
                <w:sz w:val="20"/>
                <w:szCs w:val="20"/>
              </w:rPr>
            </w:pPr>
            <w:r w:rsidRPr="00C56304">
              <w:rPr>
                <w:rFonts w:cs="Arial"/>
                <w:sz w:val="20"/>
                <w:szCs w:val="20"/>
              </w:rPr>
              <w:t>In Western Australia:</w:t>
            </w:r>
          </w:p>
          <w:p w14:paraId="72B28B16" w14:textId="77777777" w:rsidR="004160FC" w:rsidRPr="00C56304" w:rsidRDefault="004160FC" w:rsidP="00EF3DCC">
            <w:pPr>
              <w:pStyle w:val="NoSpacing"/>
              <w:numPr>
                <w:ilvl w:val="0"/>
                <w:numId w:val="26"/>
              </w:numPr>
              <w:tabs>
                <w:tab w:val="clear" w:pos="720"/>
                <w:tab w:val="num" w:pos="360"/>
              </w:tabs>
              <w:ind w:left="388" w:hanging="388"/>
              <w:jc w:val="left"/>
              <w:rPr>
                <w:rFonts w:cs="Arial"/>
                <w:sz w:val="20"/>
                <w:szCs w:val="20"/>
              </w:rPr>
            </w:pPr>
            <w:r w:rsidRPr="00C56304">
              <w:rPr>
                <w:rFonts w:cs="Arial"/>
                <w:sz w:val="20"/>
                <w:szCs w:val="20"/>
              </w:rPr>
              <w:t>there is no law that provides for the registration of professional engineers;</w:t>
            </w:r>
          </w:p>
          <w:p w14:paraId="72B28B17" w14:textId="77777777" w:rsidR="004160FC" w:rsidRPr="00C56304" w:rsidRDefault="004160FC" w:rsidP="00EF3DCC">
            <w:pPr>
              <w:pStyle w:val="NoSpacing"/>
              <w:numPr>
                <w:ilvl w:val="0"/>
                <w:numId w:val="26"/>
              </w:numPr>
              <w:tabs>
                <w:tab w:val="clear" w:pos="720"/>
                <w:tab w:val="num" w:pos="360"/>
              </w:tabs>
              <w:ind w:left="388" w:hanging="388"/>
              <w:jc w:val="left"/>
              <w:rPr>
                <w:rFonts w:cs="Arial"/>
                <w:sz w:val="20"/>
                <w:szCs w:val="20"/>
              </w:rPr>
            </w:pPr>
            <w:r w:rsidRPr="00C56304">
              <w:rPr>
                <w:rFonts w:cs="Arial"/>
                <w:sz w:val="20"/>
                <w:szCs w:val="20"/>
              </w:rPr>
              <w:t xml:space="preserve">the employer has the duty to make decisions in relation competency under the OSH Act; and </w:t>
            </w:r>
          </w:p>
          <w:p w14:paraId="72B28B18" w14:textId="77777777" w:rsidR="004160FC" w:rsidRPr="00C56304" w:rsidRDefault="004160FC" w:rsidP="00EF3DCC">
            <w:pPr>
              <w:pStyle w:val="NoSpacing"/>
              <w:numPr>
                <w:ilvl w:val="0"/>
                <w:numId w:val="26"/>
              </w:numPr>
              <w:tabs>
                <w:tab w:val="clear" w:pos="720"/>
                <w:tab w:val="num" w:pos="360"/>
              </w:tabs>
              <w:ind w:left="388" w:hanging="388"/>
              <w:jc w:val="left"/>
              <w:rPr>
                <w:rFonts w:cs="Arial"/>
                <w:sz w:val="20"/>
                <w:szCs w:val="20"/>
              </w:rPr>
            </w:pPr>
            <w:r w:rsidRPr="00C56304">
              <w:rPr>
                <w:rFonts w:cs="Arial"/>
                <w:sz w:val="20"/>
                <w:szCs w:val="20"/>
              </w:rPr>
              <w:t xml:space="preserve">there is no authority under the OSH Act or OSH regulations for the regulator to make determinations about the competency of persons to conduct major inspections of registered mobile cranes and tower cranes or annual inspections of amusement devices or passenger ropeways.  </w:t>
            </w:r>
          </w:p>
          <w:p w14:paraId="72B28B19" w14:textId="3A0A1000" w:rsidR="004160FC" w:rsidRPr="00C56304" w:rsidRDefault="004160FC" w:rsidP="00EF3DCC">
            <w:pPr>
              <w:pStyle w:val="NoSpacing"/>
              <w:ind w:left="1440" w:hanging="720"/>
              <w:jc w:val="left"/>
              <w:rPr>
                <w:rFonts w:cs="Arial"/>
                <w:sz w:val="20"/>
                <w:szCs w:val="20"/>
              </w:rPr>
            </w:pPr>
          </w:p>
        </w:tc>
      </w:tr>
      <w:tr w:rsidR="004160FC" w:rsidRPr="00C56304" w14:paraId="72B28B1E" w14:textId="77777777" w:rsidTr="00EF3DCC">
        <w:trPr>
          <w:tblHeader/>
        </w:trPr>
        <w:tc>
          <w:tcPr>
            <w:tcW w:w="2962" w:type="dxa"/>
          </w:tcPr>
          <w:p w14:paraId="72B28B1B" w14:textId="2CCF3CDD" w:rsidR="004160FC" w:rsidRPr="00C56304" w:rsidRDefault="004160FC" w:rsidP="00EF3DCC">
            <w:pPr>
              <w:pStyle w:val="Heading2"/>
              <w:numPr>
                <w:ilvl w:val="0"/>
                <w:numId w:val="37"/>
              </w:numPr>
              <w:ind w:left="455"/>
              <w:outlineLvl w:val="1"/>
              <w:rPr>
                <w:sz w:val="20"/>
                <w:szCs w:val="20"/>
                <w:lang w:eastAsia="en-AU"/>
              </w:rPr>
            </w:pPr>
            <w:bookmarkStart w:id="185" w:name="_Toc4661875"/>
            <w:bookmarkStart w:id="186" w:name="_Toc17104653"/>
            <w:r w:rsidRPr="00C56304">
              <w:rPr>
                <w:sz w:val="20"/>
                <w:szCs w:val="20"/>
                <w:lang w:eastAsia="en-AU"/>
              </w:rPr>
              <w:lastRenderedPageBreak/>
              <w:t xml:space="preserve">Duties of a </w:t>
            </w:r>
            <w:r w:rsidRPr="00C56304">
              <w:rPr>
                <w:sz w:val="20"/>
                <w:szCs w:val="20"/>
              </w:rPr>
              <w:t>person</w:t>
            </w:r>
            <w:r w:rsidRPr="00C56304">
              <w:rPr>
                <w:sz w:val="20"/>
                <w:szCs w:val="20"/>
                <w:lang w:eastAsia="en-AU"/>
              </w:rPr>
              <w:t xml:space="preserve"> conducting a business or undertaking involving the management or control of plant – Design life</w:t>
            </w:r>
            <w:bookmarkEnd w:id="185"/>
            <w:bookmarkEnd w:id="186"/>
          </w:p>
        </w:tc>
        <w:tc>
          <w:tcPr>
            <w:tcW w:w="3365" w:type="dxa"/>
          </w:tcPr>
          <w:p w14:paraId="72B28B1C" w14:textId="77777777" w:rsidR="004160FC" w:rsidRPr="00C56304" w:rsidRDefault="004160FC" w:rsidP="00EF3DCC">
            <w:pPr>
              <w:pStyle w:val="NoSpacing"/>
              <w:jc w:val="left"/>
              <w:rPr>
                <w:rFonts w:cs="Arial"/>
                <w:sz w:val="20"/>
                <w:szCs w:val="20"/>
              </w:rPr>
            </w:pPr>
            <w:r w:rsidRPr="00C56304">
              <w:rPr>
                <w:rFonts w:cs="Arial"/>
                <w:sz w:val="20"/>
                <w:szCs w:val="20"/>
                <w:lang w:eastAsia="en-AU"/>
              </w:rPr>
              <w:t xml:space="preserve">Regulation 235 also has requirements for the inspection of registered mobile cranes or tower cranes being carried out with reference to the end of the design life recommended by the manufacturer for the crane or recommendations of a competent person or every 10 years.  </w:t>
            </w:r>
          </w:p>
        </w:tc>
        <w:tc>
          <w:tcPr>
            <w:tcW w:w="2962" w:type="dxa"/>
          </w:tcPr>
          <w:p w14:paraId="72B28B1D" w14:textId="641B4C0F" w:rsidR="004160FC" w:rsidRPr="00C56304" w:rsidRDefault="004160FC" w:rsidP="00EF3DCC">
            <w:pPr>
              <w:pStyle w:val="NoSpacing"/>
              <w:jc w:val="left"/>
              <w:rPr>
                <w:rFonts w:cs="Arial"/>
                <w:sz w:val="20"/>
                <w:szCs w:val="20"/>
                <w:lang w:eastAsia="en-AU"/>
              </w:rPr>
            </w:pPr>
            <w:r w:rsidRPr="00C56304">
              <w:rPr>
                <w:rFonts w:cs="Arial"/>
                <w:sz w:val="20"/>
                <w:szCs w:val="20"/>
                <w:lang w:eastAsia="en-AU"/>
              </w:rPr>
              <w:t xml:space="preserve">R. 4.54(a) requires that the crane, hoist or unit is maintained, inspected and operated in accordance with written instructions developed by the manufacturer, written instructions approved by the Commissioner or in accordance with AS 2550.    </w:t>
            </w:r>
          </w:p>
        </w:tc>
      </w:tr>
      <w:tr w:rsidR="004160FC" w:rsidRPr="00C56304" w14:paraId="72B28B22" w14:textId="77777777" w:rsidTr="00EF3DCC">
        <w:trPr>
          <w:tblHeader/>
        </w:trPr>
        <w:tc>
          <w:tcPr>
            <w:tcW w:w="2962" w:type="dxa"/>
          </w:tcPr>
          <w:p w14:paraId="72B28B1F" w14:textId="688A43FC" w:rsidR="004160FC" w:rsidRPr="00C56304" w:rsidRDefault="004160FC" w:rsidP="00EF3DCC">
            <w:pPr>
              <w:pStyle w:val="Heading2"/>
              <w:numPr>
                <w:ilvl w:val="0"/>
                <w:numId w:val="37"/>
              </w:numPr>
              <w:ind w:left="455"/>
              <w:outlineLvl w:val="1"/>
              <w:rPr>
                <w:sz w:val="20"/>
                <w:szCs w:val="20"/>
                <w:lang w:eastAsia="en-AU"/>
              </w:rPr>
            </w:pPr>
            <w:bookmarkStart w:id="187" w:name="_Toc4661876"/>
            <w:bookmarkStart w:id="188" w:name="_Toc17104654"/>
            <w:r w:rsidRPr="00C56304">
              <w:rPr>
                <w:sz w:val="20"/>
                <w:szCs w:val="20"/>
                <w:lang w:eastAsia="en-AU"/>
              </w:rPr>
              <w:t xml:space="preserve">Duties of a </w:t>
            </w:r>
            <w:r w:rsidRPr="00C56304">
              <w:rPr>
                <w:sz w:val="20"/>
                <w:szCs w:val="20"/>
              </w:rPr>
              <w:t>person</w:t>
            </w:r>
            <w:r w:rsidRPr="00C56304">
              <w:rPr>
                <w:sz w:val="20"/>
                <w:szCs w:val="20"/>
                <w:lang w:eastAsia="en-AU"/>
              </w:rPr>
              <w:t xml:space="preserve"> conducting a business or undertaking involving the management or control of plant – Amusement devices</w:t>
            </w:r>
            <w:bookmarkEnd w:id="187"/>
            <w:bookmarkEnd w:id="188"/>
          </w:p>
        </w:tc>
        <w:tc>
          <w:tcPr>
            <w:tcW w:w="3365" w:type="dxa"/>
          </w:tcPr>
          <w:p w14:paraId="72B28B20" w14:textId="77777777" w:rsidR="004160FC" w:rsidRPr="00C56304" w:rsidRDefault="004160FC" w:rsidP="00EF3DCC">
            <w:pPr>
              <w:pStyle w:val="NoSpacing"/>
              <w:jc w:val="left"/>
              <w:rPr>
                <w:rFonts w:cs="Arial"/>
                <w:sz w:val="20"/>
                <w:szCs w:val="20"/>
                <w:lang w:eastAsia="en-AU"/>
              </w:rPr>
            </w:pPr>
            <w:r w:rsidRPr="00C56304">
              <w:rPr>
                <w:rFonts w:cs="Arial"/>
                <w:sz w:val="20"/>
                <w:szCs w:val="20"/>
                <w:lang w:eastAsia="en-AU"/>
              </w:rPr>
              <w:t xml:space="preserve">R. 241 requires an annual inspection of amusement devices and passenger ropeways by a competent person.  </w:t>
            </w:r>
          </w:p>
        </w:tc>
        <w:tc>
          <w:tcPr>
            <w:tcW w:w="2962" w:type="dxa"/>
          </w:tcPr>
          <w:p w14:paraId="72B28B21" w14:textId="32ABACD5" w:rsidR="004160FC" w:rsidRPr="00C56304" w:rsidRDefault="004160FC" w:rsidP="00EF3DCC">
            <w:pPr>
              <w:pStyle w:val="NoSpacing"/>
              <w:jc w:val="left"/>
              <w:rPr>
                <w:rFonts w:cs="Arial"/>
                <w:sz w:val="20"/>
                <w:szCs w:val="20"/>
                <w:lang w:eastAsia="en-AU"/>
              </w:rPr>
            </w:pPr>
            <w:r w:rsidRPr="00C56304">
              <w:rPr>
                <w:rFonts w:cs="Arial"/>
                <w:sz w:val="20"/>
                <w:szCs w:val="20"/>
                <w:lang w:eastAsia="en-AU"/>
              </w:rPr>
              <w:t xml:space="preserve">R. 4.52 has requirements with reference to an amusement structure being operated, maintained and inspected as applicable, in accordance with Australian Standard AS 3533 – Amusement rides and devices or the Australian Association of Live Steamers Code or manufacturer’s instructions or instructions developed by a competent person.  </w:t>
            </w:r>
          </w:p>
        </w:tc>
      </w:tr>
      <w:tr w:rsidR="004160FC" w:rsidRPr="00C56304" w14:paraId="72B28B27" w14:textId="77777777" w:rsidTr="00EF3DCC">
        <w:trPr>
          <w:tblHeader/>
        </w:trPr>
        <w:tc>
          <w:tcPr>
            <w:tcW w:w="2962" w:type="dxa"/>
          </w:tcPr>
          <w:p w14:paraId="72B28B23" w14:textId="1A3628F2" w:rsidR="004160FC" w:rsidRPr="00C56304" w:rsidRDefault="004160FC" w:rsidP="00EF3DCC">
            <w:pPr>
              <w:pStyle w:val="Heading2"/>
              <w:numPr>
                <w:ilvl w:val="0"/>
                <w:numId w:val="37"/>
              </w:numPr>
              <w:ind w:left="455"/>
              <w:outlineLvl w:val="1"/>
              <w:rPr>
                <w:sz w:val="20"/>
                <w:szCs w:val="20"/>
                <w:lang w:eastAsia="en-AU"/>
              </w:rPr>
            </w:pPr>
            <w:bookmarkStart w:id="189" w:name="_Toc4661877"/>
            <w:bookmarkStart w:id="190" w:name="_Toc17104655"/>
            <w:r w:rsidRPr="00C56304">
              <w:rPr>
                <w:sz w:val="20"/>
                <w:szCs w:val="20"/>
                <w:lang w:eastAsia="en-AU"/>
              </w:rPr>
              <w:t>Altered plant designs to be registered</w:t>
            </w:r>
            <w:bookmarkEnd w:id="189"/>
            <w:bookmarkEnd w:id="190"/>
          </w:p>
          <w:p w14:paraId="72B28B24" w14:textId="77777777" w:rsidR="004160FC" w:rsidRPr="00C56304" w:rsidRDefault="004160FC" w:rsidP="00EF3DCC">
            <w:pPr>
              <w:pStyle w:val="Heading2"/>
              <w:ind w:left="455"/>
              <w:outlineLvl w:val="1"/>
              <w:rPr>
                <w:sz w:val="20"/>
                <w:szCs w:val="20"/>
                <w:lang w:eastAsia="en-AU"/>
              </w:rPr>
            </w:pPr>
          </w:p>
        </w:tc>
        <w:tc>
          <w:tcPr>
            <w:tcW w:w="3365" w:type="dxa"/>
          </w:tcPr>
          <w:p w14:paraId="72B28B25" w14:textId="77777777" w:rsidR="004160FC" w:rsidRPr="00C56304" w:rsidRDefault="004160FC" w:rsidP="00EF3DCC">
            <w:pPr>
              <w:pStyle w:val="NoSpacing"/>
              <w:jc w:val="left"/>
              <w:rPr>
                <w:rFonts w:cs="Arial"/>
                <w:sz w:val="20"/>
                <w:szCs w:val="20"/>
                <w:lang w:eastAsia="en-AU"/>
              </w:rPr>
            </w:pPr>
            <w:r w:rsidRPr="00C56304">
              <w:rPr>
                <w:rFonts w:cs="Arial"/>
                <w:sz w:val="20"/>
                <w:szCs w:val="20"/>
                <w:lang w:eastAsia="en-AU"/>
              </w:rPr>
              <w:t xml:space="preserve">R. 244(3) exempts tower and gantry cranes from design registration if the cranes are moved to a new location.  </w:t>
            </w:r>
          </w:p>
        </w:tc>
        <w:tc>
          <w:tcPr>
            <w:tcW w:w="2962" w:type="dxa"/>
          </w:tcPr>
          <w:p w14:paraId="17F15EE0" w14:textId="77777777" w:rsidR="004160FC" w:rsidRDefault="004160FC" w:rsidP="00EF3DCC">
            <w:pPr>
              <w:pStyle w:val="NoSpacing"/>
              <w:jc w:val="left"/>
              <w:rPr>
                <w:rFonts w:cs="Arial"/>
                <w:sz w:val="20"/>
                <w:szCs w:val="20"/>
                <w:lang w:eastAsia="en-AU"/>
              </w:rPr>
            </w:pPr>
            <w:r w:rsidRPr="00C56304">
              <w:rPr>
                <w:rFonts w:cs="Arial"/>
                <w:sz w:val="20"/>
                <w:szCs w:val="20"/>
                <w:lang w:eastAsia="en-AU"/>
              </w:rPr>
              <w:t xml:space="preserve">R. 4.2 requires the </w:t>
            </w:r>
            <w:r>
              <w:rPr>
                <w:rFonts w:cs="Arial"/>
                <w:sz w:val="20"/>
                <w:szCs w:val="20"/>
                <w:lang w:eastAsia="en-AU"/>
              </w:rPr>
              <w:t>r</w:t>
            </w:r>
            <w:r w:rsidRPr="00C56304">
              <w:rPr>
                <w:rFonts w:cs="Arial"/>
                <w:sz w:val="20"/>
                <w:szCs w:val="20"/>
                <w:lang w:eastAsia="en-AU"/>
              </w:rPr>
              <w:t>egistration of the cranes and their supporting structure if moved to a new location.</w:t>
            </w:r>
          </w:p>
          <w:p w14:paraId="72B28B26" w14:textId="69ABE2F2" w:rsidR="004160FC" w:rsidRPr="00C56304" w:rsidRDefault="004160FC" w:rsidP="00EF3DCC">
            <w:pPr>
              <w:pStyle w:val="NoSpacing"/>
              <w:jc w:val="left"/>
              <w:rPr>
                <w:rFonts w:cs="Arial"/>
                <w:sz w:val="20"/>
                <w:szCs w:val="20"/>
                <w:lang w:eastAsia="en-AU"/>
              </w:rPr>
            </w:pPr>
            <w:r w:rsidRPr="00A26BFB">
              <w:rPr>
                <w:rFonts w:cs="Arial"/>
                <w:sz w:val="20"/>
                <w:szCs w:val="20"/>
                <w:lang w:eastAsia="en-AU"/>
              </w:rPr>
              <w:t>The Commission has endorsed consideration of the WHS regulations for Western Australia being amended to be consistent with the OSH regulations.</w:t>
            </w:r>
            <w:r>
              <w:rPr>
                <w:rFonts w:cs="Arial"/>
                <w:szCs w:val="24"/>
                <w:lang w:eastAsia="en-AU"/>
              </w:rPr>
              <w:t xml:space="preserve">  </w:t>
            </w:r>
          </w:p>
        </w:tc>
      </w:tr>
      <w:tr w:rsidR="004160FC" w:rsidRPr="00AD6D48" w14:paraId="72B28B29" w14:textId="77777777" w:rsidTr="00EF3DCC">
        <w:trPr>
          <w:trHeight w:val="379"/>
          <w:tblHeader/>
        </w:trPr>
        <w:tc>
          <w:tcPr>
            <w:tcW w:w="9289" w:type="dxa"/>
            <w:gridSpan w:val="3"/>
            <w:shd w:val="clear" w:color="auto" w:fill="006B6E"/>
            <w:vAlign w:val="center"/>
          </w:tcPr>
          <w:p w14:paraId="72B28B28" w14:textId="3B4C1CAF" w:rsidR="004160FC" w:rsidRPr="00AD6D48" w:rsidRDefault="004160FC" w:rsidP="00EF3DCC">
            <w:pPr>
              <w:pStyle w:val="Heading1"/>
              <w:spacing w:before="100" w:beforeAutospacing="1" w:after="100" w:afterAutospacing="1"/>
              <w:outlineLvl w:val="0"/>
              <w:rPr>
                <w:color w:val="FFFFFF" w:themeColor="background1"/>
                <w:sz w:val="20"/>
                <w:szCs w:val="20"/>
              </w:rPr>
            </w:pPr>
            <w:bookmarkStart w:id="191" w:name="_Toc451257430"/>
            <w:bookmarkStart w:id="192" w:name="_Toc451422151"/>
            <w:bookmarkStart w:id="193" w:name="_Toc451437364"/>
            <w:bookmarkStart w:id="194" w:name="_Toc4661878"/>
            <w:bookmarkStart w:id="195" w:name="_Toc17104656"/>
            <w:r w:rsidRPr="00AD6D48">
              <w:rPr>
                <w:color w:val="FFFFFF" w:themeColor="background1"/>
                <w:sz w:val="20"/>
                <w:szCs w:val="20"/>
              </w:rPr>
              <w:t>Chapter Six – Construction Work</w:t>
            </w:r>
            <w:bookmarkEnd w:id="191"/>
            <w:bookmarkEnd w:id="192"/>
            <w:bookmarkEnd w:id="193"/>
            <w:bookmarkEnd w:id="194"/>
            <w:bookmarkEnd w:id="195"/>
          </w:p>
        </w:tc>
      </w:tr>
      <w:tr w:rsidR="004160FC" w:rsidRPr="00C56304" w14:paraId="72B28B30" w14:textId="77777777" w:rsidTr="00EF3DCC">
        <w:trPr>
          <w:tblHeader/>
        </w:trPr>
        <w:tc>
          <w:tcPr>
            <w:tcW w:w="2962" w:type="dxa"/>
          </w:tcPr>
          <w:p w14:paraId="72B28B2A" w14:textId="01B43284" w:rsidR="004160FC" w:rsidRPr="00C56304" w:rsidRDefault="004160FC" w:rsidP="00EF3DCC">
            <w:pPr>
              <w:pStyle w:val="Heading2"/>
              <w:numPr>
                <w:ilvl w:val="0"/>
                <w:numId w:val="37"/>
              </w:numPr>
              <w:ind w:left="455"/>
              <w:outlineLvl w:val="1"/>
              <w:rPr>
                <w:sz w:val="20"/>
                <w:szCs w:val="20"/>
              </w:rPr>
            </w:pPr>
            <w:bookmarkStart w:id="196" w:name="_Toc4661879"/>
            <w:bookmarkStart w:id="197" w:name="_Toc17104657"/>
            <w:r w:rsidRPr="00C56304">
              <w:rPr>
                <w:sz w:val="20"/>
                <w:szCs w:val="20"/>
              </w:rPr>
              <w:t>Meaning of construction work</w:t>
            </w:r>
            <w:bookmarkEnd w:id="196"/>
            <w:bookmarkEnd w:id="197"/>
          </w:p>
          <w:p w14:paraId="72B28B2B" w14:textId="77777777" w:rsidR="004160FC" w:rsidRPr="00C56304" w:rsidRDefault="004160FC" w:rsidP="00EF3DCC">
            <w:pPr>
              <w:pStyle w:val="Heading2"/>
              <w:ind w:left="455"/>
              <w:outlineLvl w:val="1"/>
              <w:rPr>
                <w:sz w:val="20"/>
                <w:szCs w:val="20"/>
              </w:rPr>
            </w:pPr>
          </w:p>
        </w:tc>
        <w:tc>
          <w:tcPr>
            <w:tcW w:w="3365" w:type="dxa"/>
          </w:tcPr>
          <w:p w14:paraId="72B28B2C" w14:textId="33798ABA" w:rsidR="004160FC" w:rsidRPr="00C56304" w:rsidRDefault="004160FC" w:rsidP="00EF3DCC">
            <w:pPr>
              <w:pStyle w:val="NoSpacing"/>
              <w:jc w:val="left"/>
              <w:rPr>
                <w:rFonts w:cs="Arial"/>
                <w:sz w:val="20"/>
                <w:szCs w:val="20"/>
              </w:rPr>
            </w:pPr>
            <w:r w:rsidRPr="00C56304">
              <w:rPr>
                <w:rFonts w:cs="Arial"/>
                <w:sz w:val="20"/>
                <w:szCs w:val="20"/>
              </w:rPr>
              <w:t xml:space="preserve">R. 289 provides a definition of construction work.  While similar, some terms are different to those used in the OSH regulations.  For example “alteration”, “conversion” and “fitting-out”, which are specified in r. 289 (1), are not used in the OSH regulations.  </w:t>
            </w:r>
          </w:p>
          <w:p w14:paraId="72B28B2D" w14:textId="77777777" w:rsidR="004160FC" w:rsidRPr="00C56304" w:rsidRDefault="004160FC" w:rsidP="00EF3DCC">
            <w:pPr>
              <w:pStyle w:val="NoSpacing"/>
              <w:jc w:val="left"/>
              <w:rPr>
                <w:rFonts w:cs="Arial"/>
                <w:sz w:val="20"/>
                <w:szCs w:val="20"/>
              </w:rPr>
            </w:pPr>
            <w:r w:rsidRPr="00C56304">
              <w:rPr>
                <w:rFonts w:cs="Arial"/>
                <w:sz w:val="20"/>
                <w:szCs w:val="20"/>
              </w:rPr>
              <w:t>R. 289(2) identifies a series of inclusions with references to removal of waste, prefabricated elements and essential services.</w:t>
            </w:r>
          </w:p>
          <w:p w14:paraId="72B28B2E" w14:textId="77777777" w:rsidR="004160FC" w:rsidRPr="00C56304" w:rsidRDefault="004160FC" w:rsidP="00EF3DCC">
            <w:pPr>
              <w:pStyle w:val="NoSpacing"/>
              <w:jc w:val="left"/>
              <w:rPr>
                <w:rFonts w:cs="Arial"/>
                <w:sz w:val="20"/>
                <w:szCs w:val="20"/>
              </w:rPr>
            </w:pPr>
            <w:r w:rsidRPr="00C56304">
              <w:rPr>
                <w:rFonts w:cs="Arial"/>
                <w:sz w:val="20"/>
                <w:szCs w:val="20"/>
              </w:rPr>
              <w:t xml:space="preserve">Generally, the WHS and OSH regulations should apply to the same work.  However, please ensure you consider the definitions to identify any variations and potential consequences.  </w:t>
            </w:r>
          </w:p>
        </w:tc>
        <w:tc>
          <w:tcPr>
            <w:tcW w:w="2962" w:type="dxa"/>
          </w:tcPr>
          <w:p w14:paraId="72B28B2F" w14:textId="77777777" w:rsidR="004160FC" w:rsidRPr="00C56304" w:rsidRDefault="004160FC" w:rsidP="00EF3DCC">
            <w:pPr>
              <w:pStyle w:val="NoSpacing"/>
              <w:jc w:val="left"/>
              <w:rPr>
                <w:rFonts w:eastAsia="Times New Roman" w:cs="Arial"/>
                <w:color w:val="000000"/>
                <w:sz w:val="20"/>
                <w:szCs w:val="20"/>
                <w:lang w:eastAsia="en-AU"/>
              </w:rPr>
            </w:pPr>
            <w:r w:rsidRPr="00C56304">
              <w:rPr>
                <w:rFonts w:eastAsia="Times New Roman" w:cs="Arial"/>
                <w:color w:val="000000"/>
                <w:sz w:val="20"/>
                <w:szCs w:val="20"/>
                <w:lang w:eastAsia="en-AU"/>
              </w:rPr>
              <w:t xml:space="preserve">R. 1.3 defines construction work with references including painting, cleaning, scaffolding and shoring, work involving driving or extracting piles work involving a well or borehole, roadworks and work involving underground cables.  </w:t>
            </w:r>
          </w:p>
        </w:tc>
      </w:tr>
      <w:tr w:rsidR="004160FC" w:rsidRPr="00C56304" w14:paraId="72B28B3B" w14:textId="77777777" w:rsidTr="00EF3DCC">
        <w:trPr>
          <w:tblHeader/>
        </w:trPr>
        <w:tc>
          <w:tcPr>
            <w:tcW w:w="2962" w:type="dxa"/>
          </w:tcPr>
          <w:p w14:paraId="72B28B31" w14:textId="7A450175" w:rsidR="004160FC" w:rsidRPr="00C56304" w:rsidRDefault="004160FC" w:rsidP="00EF3DCC">
            <w:pPr>
              <w:pStyle w:val="Heading2"/>
              <w:numPr>
                <w:ilvl w:val="0"/>
                <w:numId w:val="37"/>
              </w:numPr>
              <w:ind w:left="455"/>
              <w:outlineLvl w:val="1"/>
              <w:rPr>
                <w:sz w:val="20"/>
                <w:szCs w:val="20"/>
              </w:rPr>
            </w:pPr>
            <w:bookmarkStart w:id="198" w:name="_Toc4661880"/>
            <w:bookmarkStart w:id="199" w:name="_Toc17104658"/>
            <w:r w:rsidRPr="00C56304">
              <w:rPr>
                <w:sz w:val="20"/>
                <w:szCs w:val="20"/>
              </w:rPr>
              <w:t>Meaning of high risk construction work</w:t>
            </w:r>
            <w:bookmarkEnd w:id="198"/>
            <w:bookmarkEnd w:id="199"/>
          </w:p>
          <w:p w14:paraId="72B28B32" w14:textId="77777777" w:rsidR="004160FC" w:rsidRPr="00C56304" w:rsidRDefault="004160FC" w:rsidP="00EF3DCC">
            <w:pPr>
              <w:pStyle w:val="Heading2"/>
              <w:ind w:left="455"/>
              <w:outlineLvl w:val="1"/>
              <w:rPr>
                <w:sz w:val="20"/>
                <w:szCs w:val="20"/>
              </w:rPr>
            </w:pPr>
          </w:p>
        </w:tc>
        <w:tc>
          <w:tcPr>
            <w:tcW w:w="3365" w:type="dxa"/>
          </w:tcPr>
          <w:p w14:paraId="72B28B33" w14:textId="77777777" w:rsidR="004160FC" w:rsidRPr="00C56304" w:rsidRDefault="004160FC" w:rsidP="00EF3DCC">
            <w:pPr>
              <w:pStyle w:val="NoSpacing"/>
              <w:jc w:val="left"/>
              <w:rPr>
                <w:rFonts w:cs="Arial"/>
                <w:sz w:val="20"/>
                <w:szCs w:val="20"/>
              </w:rPr>
            </w:pPr>
            <w:r w:rsidRPr="00C56304">
              <w:rPr>
                <w:rFonts w:cs="Arial"/>
                <w:sz w:val="20"/>
                <w:szCs w:val="20"/>
              </w:rPr>
              <w:lastRenderedPageBreak/>
              <w:t xml:space="preserve">R. 289 defines high risk construction work.  Some terms are </w:t>
            </w:r>
            <w:r w:rsidRPr="00C56304">
              <w:rPr>
                <w:rFonts w:cs="Arial"/>
                <w:sz w:val="20"/>
                <w:szCs w:val="20"/>
              </w:rPr>
              <w:lastRenderedPageBreak/>
              <w:t xml:space="preserve">different to those used in the OSH regulations.  For example : </w:t>
            </w:r>
          </w:p>
          <w:p w14:paraId="72B28B34" w14:textId="77777777" w:rsidR="004160FC" w:rsidRPr="00C56304" w:rsidRDefault="004160FC" w:rsidP="00EF3DCC">
            <w:pPr>
              <w:pStyle w:val="NoSpacing"/>
              <w:numPr>
                <w:ilvl w:val="0"/>
                <w:numId w:val="29"/>
              </w:numPr>
              <w:ind w:left="618"/>
              <w:jc w:val="left"/>
              <w:rPr>
                <w:rFonts w:cs="Arial"/>
                <w:sz w:val="20"/>
                <w:szCs w:val="20"/>
              </w:rPr>
            </w:pPr>
            <w:r w:rsidRPr="00C56304">
              <w:rPr>
                <w:rFonts w:cs="Arial"/>
                <w:sz w:val="20"/>
                <w:szCs w:val="20"/>
              </w:rPr>
              <w:t xml:space="preserve">r. 291(c) refers to “… demolition of an element or structure that is load-bearing …”; and </w:t>
            </w:r>
          </w:p>
          <w:p w14:paraId="72B28B35" w14:textId="77777777" w:rsidR="004160FC" w:rsidRPr="00C56304" w:rsidRDefault="004160FC" w:rsidP="00EF3DCC">
            <w:pPr>
              <w:pStyle w:val="NoSpacing"/>
              <w:numPr>
                <w:ilvl w:val="0"/>
                <w:numId w:val="29"/>
              </w:numPr>
              <w:ind w:left="618"/>
              <w:jc w:val="left"/>
              <w:rPr>
                <w:rFonts w:cs="Arial"/>
                <w:sz w:val="20"/>
                <w:szCs w:val="20"/>
              </w:rPr>
            </w:pPr>
            <w:r w:rsidRPr="00C56304">
              <w:rPr>
                <w:rFonts w:cs="Arial"/>
                <w:sz w:val="20"/>
                <w:szCs w:val="20"/>
              </w:rPr>
              <w:t>r. 291(k) refers to energised electrical installations or services</w:t>
            </w:r>
          </w:p>
          <w:p w14:paraId="72B28B36" w14:textId="6C4C99B8" w:rsidR="004160FC" w:rsidRPr="00C56304" w:rsidRDefault="004160FC" w:rsidP="00EF3DCC">
            <w:pPr>
              <w:pStyle w:val="NoSpacing"/>
              <w:jc w:val="left"/>
              <w:rPr>
                <w:rFonts w:cs="Arial"/>
                <w:sz w:val="20"/>
                <w:szCs w:val="20"/>
              </w:rPr>
            </w:pPr>
            <w:r w:rsidRPr="00C56304">
              <w:rPr>
                <w:rFonts w:eastAsia="Times New Roman" w:cs="Arial"/>
                <w:color w:val="000000"/>
                <w:sz w:val="20"/>
                <w:szCs w:val="20"/>
                <w:lang w:eastAsia="en-AU"/>
              </w:rPr>
              <w:t>As with the meaning of construction work, g</w:t>
            </w:r>
            <w:r w:rsidRPr="00C56304">
              <w:rPr>
                <w:rFonts w:cs="Arial"/>
                <w:sz w:val="20"/>
                <w:szCs w:val="20"/>
              </w:rPr>
              <w:t>enerally, the WHS and OSH regulations should apply to the same wo</w:t>
            </w:r>
            <w:r w:rsidR="009E6FF6">
              <w:rPr>
                <w:rFonts w:cs="Arial"/>
                <w:sz w:val="20"/>
                <w:szCs w:val="20"/>
              </w:rPr>
              <w:t>rk.  However, please ensure you</w:t>
            </w:r>
            <w:r w:rsidRPr="00C56304">
              <w:rPr>
                <w:rFonts w:cs="Arial"/>
                <w:sz w:val="20"/>
                <w:szCs w:val="20"/>
              </w:rPr>
              <w:t xml:space="preserve"> consider the definitions to identify variations.  </w:t>
            </w:r>
          </w:p>
        </w:tc>
        <w:tc>
          <w:tcPr>
            <w:tcW w:w="2962" w:type="dxa"/>
          </w:tcPr>
          <w:p w14:paraId="72B28B37" w14:textId="77777777" w:rsidR="004160FC" w:rsidRPr="00C56304" w:rsidRDefault="004160FC" w:rsidP="00EF3DCC">
            <w:pPr>
              <w:pStyle w:val="NoSpacing"/>
              <w:jc w:val="left"/>
              <w:rPr>
                <w:rFonts w:eastAsia="Times New Roman" w:cs="Arial"/>
                <w:color w:val="000000"/>
                <w:sz w:val="20"/>
                <w:szCs w:val="20"/>
                <w:lang w:eastAsia="en-AU"/>
              </w:rPr>
            </w:pPr>
            <w:r w:rsidRPr="00C56304">
              <w:rPr>
                <w:rFonts w:eastAsia="Times New Roman" w:cs="Arial"/>
                <w:color w:val="000000"/>
                <w:sz w:val="20"/>
                <w:szCs w:val="20"/>
                <w:lang w:eastAsia="en-AU"/>
              </w:rPr>
              <w:lastRenderedPageBreak/>
              <w:t>The definition in r. 3.137 includes the following comparative terms:</w:t>
            </w:r>
          </w:p>
          <w:p w14:paraId="72B28B38" w14:textId="77777777" w:rsidR="004160FC" w:rsidRPr="00C56304" w:rsidRDefault="004160FC" w:rsidP="00EF3DCC">
            <w:pPr>
              <w:pStyle w:val="NoSpacing"/>
              <w:numPr>
                <w:ilvl w:val="0"/>
                <w:numId w:val="30"/>
              </w:numPr>
              <w:ind w:left="538"/>
              <w:jc w:val="left"/>
              <w:rPr>
                <w:rFonts w:eastAsia="Times New Roman" w:cs="Arial"/>
                <w:color w:val="000000"/>
                <w:sz w:val="20"/>
                <w:szCs w:val="20"/>
                <w:lang w:eastAsia="en-AU"/>
              </w:rPr>
            </w:pPr>
            <w:r w:rsidRPr="00C56304">
              <w:rPr>
                <w:rFonts w:eastAsia="Times New Roman" w:cs="Arial"/>
                <w:color w:val="000000"/>
                <w:sz w:val="20"/>
                <w:szCs w:val="20"/>
                <w:lang w:eastAsia="en-AU"/>
              </w:rPr>
              <w:lastRenderedPageBreak/>
              <w:t>construction work involving demolition;</w:t>
            </w:r>
          </w:p>
          <w:p w14:paraId="72B28B39" w14:textId="77777777" w:rsidR="004160FC" w:rsidRPr="00C56304" w:rsidRDefault="004160FC" w:rsidP="00EF3DCC">
            <w:pPr>
              <w:pStyle w:val="NoSpacing"/>
              <w:numPr>
                <w:ilvl w:val="0"/>
                <w:numId w:val="30"/>
              </w:numPr>
              <w:ind w:left="538"/>
              <w:jc w:val="left"/>
              <w:rPr>
                <w:rFonts w:eastAsia="Times New Roman" w:cs="Arial"/>
                <w:color w:val="000000"/>
                <w:sz w:val="20"/>
                <w:szCs w:val="20"/>
                <w:lang w:eastAsia="en-AU"/>
              </w:rPr>
            </w:pPr>
            <w:r w:rsidRPr="00C56304">
              <w:rPr>
                <w:rFonts w:eastAsia="Times New Roman" w:cs="Arial"/>
                <w:color w:val="000000"/>
                <w:sz w:val="20"/>
                <w:szCs w:val="20"/>
                <w:lang w:eastAsia="en-AU"/>
              </w:rPr>
              <w:t>construction work on or near energised electrical installations and lines (whether overhead or underground).</w:t>
            </w:r>
          </w:p>
          <w:p w14:paraId="72B28B3A" w14:textId="308A2F66" w:rsidR="004160FC" w:rsidRPr="00C56304" w:rsidRDefault="004160FC" w:rsidP="00EF3DCC">
            <w:pPr>
              <w:pStyle w:val="NoSpacing"/>
              <w:ind w:left="69"/>
              <w:jc w:val="left"/>
              <w:rPr>
                <w:rFonts w:eastAsia="Times New Roman" w:cs="Arial"/>
                <w:color w:val="000000"/>
                <w:sz w:val="20"/>
                <w:szCs w:val="20"/>
                <w:lang w:eastAsia="en-AU"/>
              </w:rPr>
            </w:pPr>
          </w:p>
        </w:tc>
      </w:tr>
      <w:tr w:rsidR="004160FC" w:rsidRPr="00C56304" w14:paraId="72B28B41" w14:textId="77777777" w:rsidTr="00EF3DCC">
        <w:trPr>
          <w:tblHeader/>
        </w:trPr>
        <w:tc>
          <w:tcPr>
            <w:tcW w:w="2962" w:type="dxa"/>
          </w:tcPr>
          <w:p w14:paraId="72B28B3C" w14:textId="43D3B0B1" w:rsidR="004160FC" w:rsidRPr="00C56304" w:rsidRDefault="004160FC" w:rsidP="00EF3DCC">
            <w:pPr>
              <w:pStyle w:val="Heading2"/>
              <w:numPr>
                <w:ilvl w:val="0"/>
                <w:numId w:val="37"/>
              </w:numPr>
              <w:ind w:left="455"/>
              <w:outlineLvl w:val="1"/>
              <w:rPr>
                <w:sz w:val="20"/>
                <w:szCs w:val="20"/>
              </w:rPr>
            </w:pPr>
            <w:bookmarkStart w:id="200" w:name="_Toc451257431"/>
            <w:bookmarkStart w:id="201" w:name="_Toc451422152"/>
            <w:bookmarkStart w:id="202" w:name="_Toc451437365"/>
            <w:bookmarkStart w:id="203" w:name="_Toc4661881"/>
            <w:bookmarkStart w:id="204" w:name="_Toc17104659"/>
            <w:r w:rsidRPr="00C56304">
              <w:rPr>
                <w:sz w:val="20"/>
                <w:szCs w:val="20"/>
              </w:rPr>
              <w:lastRenderedPageBreak/>
              <w:t>Threshold for construction project</w:t>
            </w:r>
            <w:bookmarkEnd w:id="200"/>
            <w:bookmarkEnd w:id="201"/>
            <w:bookmarkEnd w:id="202"/>
            <w:bookmarkEnd w:id="203"/>
            <w:bookmarkEnd w:id="204"/>
          </w:p>
          <w:p w14:paraId="72B28B3D" w14:textId="77777777" w:rsidR="004160FC" w:rsidRPr="00C56304" w:rsidRDefault="004160FC" w:rsidP="00EF3DCC">
            <w:pPr>
              <w:pStyle w:val="Heading1"/>
              <w:ind w:left="455"/>
              <w:outlineLvl w:val="0"/>
              <w:rPr>
                <w:sz w:val="20"/>
                <w:szCs w:val="20"/>
              </w:rPr>
            </w:pPr>
          </w:p>
        </w:tc>
        <w:tc>
          <w:tcPr>
            <w:tcW w:w="3365" w:type="dxa"/>
          </w:tcPr>
          <w:p w14:paraId="72B28B3E" w14:textId="77777777" w:rsidR="004160FC" w:rsidRPr="00C56304" w:rsidRDefault="004160FC" w:rsidP="00EF3DCC">
            <w:pPr>
              <w:pStyle w:val="NoSpacing"/>
              <w:jc w:val="left"/>
              <w:rPr>
                <w:rFonts w:cs="Arial"/>
                <w:sz w:val="20"/>
                <w:szCs w:val="20"/>
              </w:rPr>
            </w:pPr>
            <w:r w:rsidRPr="00C56304">
              <w:rPr>
                <w:rFonts w:cs="Arial"/>
                <w:sz w:val="20"/>
                <w:szCs w:val="20"/>
              </w:rPr>
              <w:t xml:space="preserve">R. 292 provides the definition of a </w:t>
            </w:r>
            <w:r w:rsidRPr="00C56304">
              <w:rPr>
                <w:rFonts w:cs="Arial"/>
                <w:b/>
                <w:i/>
                <w:sz w:val="20"/>
                <w:szCs w:val="20"/>
              </w:rPr>
              <w:t>construction project</w:t>
            </w:r>
            <w:r w:rsidRPr="00C56304">
              <w:rPr>
                <w:rFonts w:cs="Arial"/>
                <w:sz w:val="20"/>
                <w:szCs w:val="20"/>
              </w:rPr>
              <w:t xml:space="preserve">.  Construction work that meets the definition of a </w:t>
            </w:r>
            <w:r w:rsidRPr="00C56304">
              <w:rPr>
                <w:rFonts w:cs="Arial"/>
                <w:b/>
                <w:i/>
                <w:sz w:val="20"/>
                <w:szCs w:val="20"/>
              </w:rPr>
              <w:t>construction project</w:t>
            </w:r>
            <w:r w:rsidRPr="00C56304">
              <w:rPr>
                <w:rFonts w:cs="Arial"/>
                <w:sz w:val="20"/>
                <w:szCs w:val="20"/>
              </w:rPr>
              <w:t xml:space="preserve"> requires the appointment of a principal contractor who has additional duties. </w:t>
            </w:r>
          </w:p>
          <w:p w14:paraId="72B28B3F" w14:textId="77777777" w:rsidR="004160FC" w:rsidRPr="00C56304" w:rsidRDefault="004160FC" w:rsidP="00EF3DCC">
            <w:pPr>
              <w:pStyle w:val="NoSpacing"/>
              <w:jc w:val="left"/>
              <w:rPr>
                <w:rFonts w:cs="Arial"/>
                <w:sz w:val="20"/>
                <w:szCs w:val="20"/>
              </w:rPr>
            </w:pPr>
            <w:r w:rsidRPr="00C56304">
              <w:rPr>
                <w:rFonts w:cs="Arial"/>
                <w:sz w:val="20"/>
                <w:szCs w:val="20"/>
              </w:rPr>
              <w:t>The threshold specified in the model WHS regulations is $250,000.</w:t>
            </w:r>
          </w:p>
        </w:tc>
        <w:tc>
          <w:tcPr>
            <w:tcW w:w="2962" w:type="dxa"/>
          </w:tcPr>
          <w:p w14:paraId="72B28B40" w14:textId="5A8A3851" w:rsidR="004160FC" w:rsidRPr="00C56304" w:rsidRDefault="004160FC" w:rsidP="00EF3DCC">
            <w:pPr>
              <w:pStyle w:val="NoSpacing"/>
              <w:jc w:val="left"/>
              <w:rPr>
                <w:rFonts w:eastAsia="Times New Roman" w:cs="Arial"/>
                <w:color w:val="000000"/>
                <w:sz w:val="20"/>
                <w:szCs w:val="20"/>
                <w:lang w:eastAsia="en-AU"/>
              </w:rPr>
            </w:pPr>
            <w:r w:rsidRPr="00C56304">
              <w:rPr>
                <w:rFonts w:eastAsia="Times New Roman" w:cs="Arial"/>
                <w:color w:val="000000"/>
                <w:sz w:val="20"/>
                <w:szCs w:val="20"/>
                <w:lang w:eastAsia="en-AU"/>
              </w:rPr>
              <w:t xml:space="preserve">The threshold in r. 3.142 </w:t>
            </w:r>
            <w:r w:rsidRPr="00C56304">
              <w:rPr>
                <w:rFonts w:eastAsia="Times New Roman" w:cs="Arial"/>
                <w:sz w:val="20"/>
                <w:szCs w:val="20"/>
                <w:lang w:eastAsia="en-AU"/>
              </w:rPr>
              <w:t xml:space="preserve">for </w:t>
            </w:r>
            <w:r w:rsidRPr="00C56304">
              <w:rPr>
                <w:rFonts w:eastAsia="Times New Roman" w:cs="Arial"/>
                <w:color w:val="000000"/>
                <w:sz w:val="20"/>
                <w:szCs w:val="20"/>
                <w:lang w:eastAsia="en-AU"/>
              </w:rPr>
              <w:t xml:space="preserve">a main contractor in relation to an occupational health and safety management plan is where five or more persons are likely to be working at the same time.  This replicates the threshold established in clause 7.30 of the </w:t>
            </w:r>
            <w:r w:rsidRPr="00C56304">
              <w:rPr>
                <w:rFonts w:eastAsia="Times New Roman" w:cs="Arial"/>
                <w:i/>
                <w:color w:val="000000"/>
                <w:sz w:val="20"/>
                <w:szCs w:val="20"/>
                <w:lang w:eastAsia="en-AU"/>
              </w:rPr>
              <w:t>National standard for construction work [NOHSC:1016(2005)]</w:t>
            </w:r>
            <w:r w:rsidRPr="00C56304">
              <w:rPr>
                <w:rFonts w:eastAsia="Times New Roman" w:cs="Arial"/>
                <w:color w:val="000000"/>
                <w:sz w:val="20"/>
                <w:szCs w:val="20"/>
                <w:lang w:eastAsia="en-AU"/>
              </w:rPr>
              <w:t>.</w:t>
            </w:r>
          </w:p>
        </w:tc>
      </w:tr>
      <w:tr w:rsidR="004160FC" w:rsidRPr="00C56304" w14:paraId="72B28B4A" w14:textId="77777777" w:rsidTr="00EF3DCC">
        <w:trPr>
          <w:tblHeader/>
        </w:trPr>
        <w:tc>
          <w:tcPr>
            <w:tcW w:w="2962" w:type="dxa"/>
          </w:tcPr>
          <w:p w14:paraId="72B28B42" w14:textId="40B03EEC" w:rsidR="004160FC" w:rsidRPr="00C56304" w:rsidRDefault="004160FC" w:rsidP="00EF3DCC">
            <w:pPr>
              <w:pStyle w:val="Heading2"/>
              <w:numPr>
                <w:ilvl w:val="0"/>
                <w:numId w:val="37"/>
              </w:numPr>
              <w:ind w:left="455"/>
              <w:outlineLvl w:val="1"/>
              <w:rPr>
                <w:sz w:val="20"/>
                <w:szCs w:val="20"/>
              </w:rPr>
            </w:pPr>
            <w:bookmarkStart w:id="205" w:name="_Toc4661882"/>
            <w:bookmarkStart w:id="206" w:name="_Toc17104660"/>
            <w:r w:rsidRPr="00C56304">
              <w:rPr>
                <w:sz w:val="20"/>
                <w:szCs w:val="20"/>
              </w:rPr>
              <w:t>Tilt-up construction work – high risk construction work</w:t>
            </w:r>
            <w:bookmarkEnd w:id="205"/>
            <w:bookmarkEnd w:id="206"/>
          </w:p>
          <w:p w14:paraId="72B28B43" w14:textId="77777777" w:rsidR="004160FC" w:rsidRPr="00C56304" w:rsidRDefault="004160FC" w:rsidP="00EF3DCC">
            <w:pPr>
              <w:pStyle w:val="Heading2"/>
              <w:ind w:left="455"/>
              <w:outlineLvl w:val="1"/>
              <w:rPr>
                <w:sz w:val="20"/>
                <w:szCs w:val="20"/>
              </w:rPr>
            </w:pPr>
          </w:p>
        </w:tc>
        <w:tc>
          <w:tcPr>
            <w:tcW w:w="3365" w:type="dxa"/>
          </w:tcPr>
          <w:p w14:paraId="72B28B44" w14:textId="77777777" w:rsidR="004160FC" w:rsidRPr="00C56304" w:rsidRDefault="004160FC" w:rsidP="00EF3DCC">
            <w:pPr>
              <w:pStyle w:val="NoSpacing"/>
              <w:jc w:val="left"/>
              <w:rPr>
                <w:rFonts w:cs="Arial"/>
                <w:sz w:val="20"/>
                <w:szCs w:val="20"/>
              </w:rPr>
            </w:pPr>
            <w:r w:rsidRPr="00C56304">
              <w:rPr>
                <w:rFonts w:cs="Arial"/>
                <w:sz w:val="20"/>
                <w:szCs w:val="20"/>
              </w:rPr>
              <w:t>Include tilt-up construction work as high risk construction work (r. 291) which requires the use of a safe work method statement.</w:t>
            </w:r>
          </w:p>
        </w:tc>
        <w:tc>
          <w:tcPr>
            <w:tcW w:w="2962" w:type="dxa"/>
          </w:tcPr>
          <w:p w14:paraId="72B28B45" w14:textId="77777777" w:rsidR="004160FC" w:rsidRPr="00C56304" w:rsidRDefault="004160FC" w:rsidP="00EF3DCC">
            <w:pPr>
              <w:pStyle w:val="NoSpacing"/>
              <w:jc w:val="left"/>
              <w:rPr>
                <w:rFonts w:cs="Arial"/>
                <w:sz w:val="20"/>
                <w:szCs w:val="20"/>
              </w:rPr>
            </w:pPr>
            <w:r w:rsidRPr="00C56304">
              <w:rPr>
                <w:rFonts w:cs="Arial"/>
                <w:sz w:val="20"/>
                <w:szCs w:val="20"/>
              </w:rPr>
              <w:t>The definition of high risk construction work at r. 3.137 includes construction work involving tilt-up or precast concrete</w:t>
            </w:r>
          </w:p>
          <w:p w14:paraId="72B28B46" w14:textId="77777777" w:rsidR="004160FC" w:rsidRPr="00C56304" w:rsidRDefault="004160FC" w:rsidP="00EF3DCC">
            <w:pPr>
              <w:pStyle w:val="NoSpacing"/>
              <w:jc w:val="left"/>
              <w:rPr>
                <w:rFonts w:cs="Arial"/>
                <w:sz w:val="20"/>
                <w:szCs w:val="20"/>
              </w:rPr>
            </w:pPr>
            <w:r w:rsidRPr="00C56304">
              <w:rPr>
                <w:rFonts w:cs="Arial"/>
                <w:sz w:val="20"/>
                <w:szCs w:val="20"/>
              </w:rPr>
              <w:t>In addition, Part 3, Division 9, Sub-division 1 – Tilt-up concreted and precast concrete elements (regulations 3.88 to regulation 3.88J), prescribes requirements in relation to tilt-up construction work, including:</w:t>
            </w:r>
          </w:p>
          <w:p w14:paraId="72B28B47" w14:textId="77777777" w:rsidR="004160FC" w:rsidRPr="00C56304" w:rsidRDefault="004160FC" w:rsidP="00EF3DCC">
            <w:pPr>
              <w:pStyle w:val="NoSpacing"/>
              <w:numPr>
                <w:ilvl w:val="0"/>
                <w:numId w:val="10"/>
              </w:numPr>
              <w:ind w:left="538"/>
              <w:jc w:val="left"/>
              <w:rPr>
                <w:rFonts w:cs="Arial"/>
                <w:sz w:val="20"/>
                <w:szCs w:val="20"/>
              </w:rPr>
            </w:pPr>
            <w:r w:rsidRPr="00C56304">
              <w:rPr>
                <w:rFonts w:cs="Arial"/>
                <w:sz w:val="20"/>
                <w:szCs w:val="20"/>
              </w:rPr>
              <w:t>notification to the Commissioner;</w:t>
            </w:r>
          </w:p>
          <w:p w14:paraId="72B28B48" w14:textId="77777777" w:rsidR="004160FC" w:rsidRPr="00C56304" w:rsidRDefault="004160FC" w:rsidP="00EF3DCC">
            <w:pPr>
              <w:pStyle w:val="NoSpacing"/>
              <w:numPr>
                <w:ilvl w:val="0"/>
                <w:numId w:val="10"/>
              </w:numPr>
              <w:ind w:left="538"/>
              <w:jc w:val="left"/>
              <w:rPr>
                <w:rFonts w:cs="Arial"/>
                <w:sz w:val="20"/>
                <w:szCs w:val="20"/>
              </w:rPr>
            </w:pPr>
            <w:r w:rsidRPr="00C56304">
              <w:rPr>
                <w:rFonts w:cs="Arial"/>
                <w:sz w:val="20"/>
                <w:szCs w:val="20"/>
              </w:rPr>
              <w:t xml:space="preserve">compliance with specified elements of the </w:t>
            </w:r>
            <w:r w:rsidRPr="00C56304">
              <w:rPr>
                <w:rFonts w:eastAsia="Times New Roman" w:cs="Arial"/>
                <w:color w:val="000000"/>
                <w:sz w:val="20"/>
                <w:szCs w:val="20"/>
                <w:lang w:eastAsia="en-AU"/>
              </w:rPr>
              <w:t xml:space="preserve">Australian Standard </w:t>
            </w:r>
            <w:r w:rsidRPr="00C56304">
              <w:rPr>
                <w:rFonts w:eastAsia="Times New Roman" w:cs="Arial"/>
                <w:i/>
                <w:color w:val="000000"/>
                <w:sz w:val="20"/>
                <w:szCs w:val="20"/>
                <w:lang w:eastAsia="en-AU"/>
              </w:rPr>
              <w:t>AS3850</w:t>
            </w:r>
            <w:r w:rsidRPr="00C56304">
              <w:rPr>
                <w:rFonts w:eastAsia="Times New Roman" w:cs="Arial"/>
                <w:i/>
                <w:color w:val="000000"/>
                <w:sz w:val="20"/>
                <w:szCs w:val="20"/>
                <w:lang w:eastAsia="en-AU"/>
              </w:rPr>
              <w:br w:type="textWrapping" w:clear="all"/>
              <w:t xml:space="preserve"> – Tilt-up concrete </w:t>
            </w:r>
            <w:r w:rsidRPr="00C56304">
              <w:rPr>
                <w:rFonts w:eastAsia="Times New Roman" w:cs="Arial"/>
                <w:i/>
                <w:sz w:val="20"/>
                <w:szCs w:val="20"/>
                <w:lang w:eastAsia="en-AU"/>
              </w:rPr>
              <w:t>construction</w:t>
            </w:r>
            <w:r w:rsidRPr="00C56304">
              <w:rPr>
                <w:rFonts w:eastAsia="Times New Roman" w:cs="Arial"/>
                <w:sz w:val="20"/>
                <w:szCs w:val="20"/>
                <w:lang w:eastAsia="en-AU"/>
              </w:rPr>
              <w:t xml:space="preserve"> (the tilt-up standard)</w:t>
            </w:r>
            <w:r w:rsidRPr="00C56304">
              <w:rPr>
                <w:rFonts w:cs="Arial"/>
                <w:sz w:val="20"/>
                <w:szCs w:val="20"/>
              </w:rPr>
              <w:t>; and</w:t>
            </w:r>
          </w:p>
          <w:p w14:paraId="72B28B49" w14:textId="6B10CED9" w:rsidR="004160FC" w:rsidRPr="00C56304" w:rsidRDefault="004160FC" w:rsidP="00EF3DCC">
            <w:pPr>
              <w:pStyle w:val="NoSpacing"/>
              <w:numPr>
                <w:ilvl w:val="0"/>
                <w:numId w:val="10"/>
              </w:numPr>
              <w:ind w:left="538"/>
              <w:jc w:val="left"/>
              <w:rPr>
                <w:rFonts w:cs="Arial"/>
                <w:sz w:val="20"/>
                <w:szCs w:val="20"/>
              </w:rPr>
            </w:pPr>
            <w:r w:rsidRPr="00C56304">
              <w:rPr>
                <w:rFonts w:cs="Arial"/>
                <w:sz w:val="20"/>
                <w:szCs w:val="20"/>
              </w:rPr>
              <w:t>competency requirements.</w:t>
            </w:r>
          </w:p>
        </w:tc>
      </w:tr>
      <w:tr w:rsidR="004160FC" w:rsidRPr="00C56304" w14:paraId="72B28B4F" w14:textId="77777777" w:rsidTr="00EF3DCC">
        <w:trPr>
          <w:tblHeader/>
        </w:trPr>
        <w:tc>
          <w:tcPr>
            <w:tcW w:w="2962" w:type="dxa"/>
          </w:tcPr>
          <w:p w14:paraId="72B28B4B" w14:textId="3205E7D7" w:rsidR="004160FC" w:rsidRPr="00C56304" w:rsidRDefault="004160FC" w:rsidP="00EF3DCC">
            <w:pPr>
              <w:pStyle w:val="Heading2"/>
              <w:numPr>
                <w:ilvl w:val="0"/>
                <w:numId w:val="37"/>
              </w:numPr>
              <w:ind w:left="455"/>
              <w:outlineLvl w:val="1"/>
              <w:rPr>
                <w:sz w:val="20"/>
                <w:szCs w:val="20"/>
              </w:rPr>
            </w:pPr>
            <w:bookmarkStart w:id="207" w:name="_Toc4661883"/>
            <w:bookmarkStart w:id="208" w:name="_Toc17104661"/>
            <w:r w:rsidRPr="00C56304">
              <w:rPr>
                <w:sz w:val="20"/>
                <w:szCs w:val="20"/>
              </w:rPr>
              <w:t>Tilt-up construction work – Code of Practice</w:t>
            </w:r>
            <w:bookmarkEnd w:id="207"/>
            <w:bookmarkEnd w:id="208"/>
          </w:p>
          <w:p w14:paraId="72B28B4C" w14:textId="77777777" w:rsidR="004160FC" w:rsidRPr="00C56304" w:rsidRDefault="004160FC" w:rsidP="00EF3DCC">
            <w:pPr>
              <w:pStyle w:val="Heading2"/>
              <w:ind w:left="455"/>
              <w:outlineLvl w:val="1"/>
              <w:rPr>
                <w:sz w:val="20"/>
                <w:szCs w:val="20"/>
              </w:rPr>
            </w:pPr>
          </w:p>
        </w:tc>
        <w:tc>
          <w:tcPr>
            <w:tcW w:w="3365" w:type="dxa"/>
          </w:tcPr>
          <w:p w14:paraId="72B28B4D" w14:textId="6BBC6C0A" w:rsidR="004160FC" w:rsidRPr="00C56304" w:rsidRDefault="004160FC" w:rsidP="00EF3DCC">
            <w:pPr>
              <w:pStyle w:val="NoSpacing"/>
              <w:jc w:val="left"/>
              <w:rPr>
                <w:rFonts w:cs="Arial"/>
                <w:sz w:val="20"/>
                <w:szCs w:val="20"/>
                <w:lang w:eastAsia="en-AU"/>
              </w:rPr>
            </w:pPr>
            <w:r w:rsidRPr="00C56304">
              <w:rPr>
                <w:rFonts w:cs="Arial"/>
                <w:sz w:val="20"/>
                <w:szCs w:val="20"/>
                <w:lang w:eastAsia="en-AU"/>
              </w:rPr>
              <w:t xml:space="preserve">Safe Work Australia has published the </w:t>
            </w:r>
            <w:r w:rsidRPr="00C56304">
              <w:rPr>
                <w:rFonts w:cs="Arial"/>
                <w:i/>
                <w:sz w:val="20"/>
                <w:szCs w:val="20"/>
                <w:lang w:eastAsia="en-AU"/>
              </w:rPr>
              <w:t>National code of practice for precast, tilt-up and concrete elements in building construction</w:t>
            </w:r>
            <w:r w:rsidRPr="00C56304">
              <w:rPr>
                <w:rFonts w:cs="Arial"/>
                <w:sz w:val="20"/>
                <w:szCs w:val="20"/>
                <w:lang w:eastAsia="en-AU"/>
              </w:rPr>
              <w:t>.</w:t>
            </w:r>
          </w:p>
        </w:tc>
        <w:tc>
          <w:tcPr>
            <w:tcW w:w="2962" w:type="dxa"/>
          </w:tcPr>
          <w:p w14:paraId="72B28B4E" w14:textId="2C4D2A5D" w:rsidR="004160FC" w:rsidRPr="00C56304" w:rsidRDefault="004160FC" w:rsidP="00EF3DCC">
            <w:pPr>
              <w:pStyle w:val="NoSpacing"/>
              <w:jc w:val="left"/>
              <w:rPr>
                <w:rFonts w:eastAsia="Times New Roman" w:cs="Arial"/>
                <w:color w:val="000000"/>
                <w:sz w:val="20"/>
                <w:szCs w:val="20"/>
                <w:lang w:eastAsia="en-AU"/>
              </w:rPr>
            </w:pPr>
            <w:r w:rsidRPr="00C56304">
              <w:rPr>
                <w:rFonts w:eastAsia="Times New Roman" w:cs="Arial"/>
                <w:sz w:val="20"/>
                <w:szCs w:val="20"/>
                <w:lang w:eastAsia="en-AU"/>
              </w:rPr>
              <w:t xml:space="preserve">In relation </w:t>
            </w:r>
            <w:r w:rsidRPr="00C56304">
              <w:rPr>
                <w:rFonts w:eastAsia="Times New Roman" w:cs="Arial"/>
                <w:color w:val="000000"/>
                <w:sz w:val="20"/>
                <w:szCs w:val="20"/>
                <w:lang w:eastAsia="en-AU"/>
              </w:rPr>
              <w:t xml:space="preserve">to tilt-up work AS 3850 – Tilt-up concrete construction, is referenced.  </w:t>
            </w:r>
          </w:p>
        </w:tc>
      </w:tr>
      <w:tr w:rsidR="004160FC" w:rsidRPr="00C56304" w14:paraId="72B28B54" w14:textId="77777777" w:rsidTr="00EF3DCC">
        <w:trPr>
          <w:tblHeader/>
        </w:trPr>
        <w:tc>
          <w:tcPr>
            <w:tcW w:w="2962" w:type="dxa"/>
          </w:tcPr>
          <w:p w14:paraId="72B28B50" w14:textId="7E24B775" w:rsidR="004160FC" w:rsidRPr="00C56304" w:rsidRDefault="004160FC" w:rsidP="00EF3DCC">
            <w:pPr>
              <w:pStyle w:val="Heading2"/>
              <w:numPr>
                <w:ilvl w:val="0"/>
                <w:numId w:val="37"/>
              </w:numPr>
              <w:ind w:left="455"/>
              <w:outlineLvl w:val="1"/>
              <w:rPr>
                <w:sz w:val="20"/>
                <w:szCs w:val="20"/>
                <w:lang w:eastAsia="en-AU"/>
              </w:rPr>
            </w:pPr>
            <w:bookmarkStart w:id="209" w:name="_Toc4661884"/>
            <w:bookmarkStart w:id="210" w:name="_Toc17104662"/>
            <w:r w:rsidRPr="00C56304">
              <w:rPr>
                <w:sz w:val="20"/>
                <w:szCs w:val="20"/>
                <w:lang w:eastAsia="en-AU"/>
              </w:rPr>
              <w:lastRenderedPageBreak/>
              <w:t>Additional controls - trenches</w:t>
            </w:r>
            <w:bookmarkEnd w:id="209"/>
            <w:bookmarkEnd w:id="210"/>
          </w:p>
          <w:p w14:paraId="72B28B51" w14:textId="77777777" w:rsidR="004160FC" w:rsidRPr="00C56304" w:rsidRDefault="004160FC" w:rsidP="00EF3DCC">
            <w:pPr>
              <w:pStyle w:val="Heading2"/>
              <w:ind w:left="455"/>
              <w:outlineLvl w:val="1"/>
              <w:rPr>
                <w:sz w:val="20"/>
                <w:szCs w:val="20"/>
              </w:rPr>
            </w:pPr>
          </w:p>
        </w:tc>
        <w:tc>
          <w:tcPr>
            <w:tcW w:w="3365" w:type="dxa"/>
          </w:tcPr>
          <w:p w14:paraId="72B28B52" w14:textId="77777777" w:rsidR="004160FC" w:rsidRPr="00C56304" w:rsidRDefault="004160FC" w:rsidP="00EF3DCC">
            <w:pPr>
              <w:pStyle w:val="NoSpacing"/>
              <w:jc w:val="left"/>
              <w:rPr>
                <w:rFonts w:cs="Arial"/>
                <w:sz w:val="20"/>
                <w:szCs w:val="20"/>
                <w:lang w:eastAsia="en-AU"/>
              </w:rPr>
            </w:pPr>
            <w:r w:rsidRPr="00C56304">
              <w:rPr>
                <w:rFonts w:cs="Arial"/>
                <w:sz w:val="20"/>
                <w:szCs w:val="20"/>
              </w:rPr>
              <w:t xml:space="preserve">R. 306 provides the alternative for a geotechnical engineer to ensure the sides of a trench are safe from collapse.  A geotechnical engineer is not included in the definition of </w:t>
            </w:r>
            <w:r w:rsidRPr="00C56304">
              <w:rPr>
                <w:rFonts w:cs="Arial"/>
                <w:b/>
                <w:i/>
                <w:sz w:val="20"/>
                <w:szCs w:val="20"/>
              </w:rPr>
              <w:t>competent person</w:t>
            </w:r>
            <w:r w:rsidRPr="00C56304">
              <w:rPr>
                <w:rFonts w:cs="Arial"/>
                <w:sz w:val="20"/>
                <w:szCs w:val="20"/>
              </w:rPr>
              <w:t xml:space="preserve"> in the model WHS regulations.  </w:t>
            </w:r>
          </w:p>
        </w:tc>
        <w:tc>
          <w:tcPr>
            <w:tcW w:w="2962" w:type="dxa"/>
          </w:tcPr>
          <w:p w14:paraId="72B28B53" w14:textId="7E59EF33" w:rsidR="004160FC" w:rsidRPr="00C56304" w:rsidRDefault="004160FC" w:rsidP="00EF3DCC">
            <w:pPr>
              <w:pStyle w:val="NoSpacing"/>
              <w:jc w:val="left"/>
              <w:rPr>
                <w:rFonts w:cs="Arial"/>
                <w:sz w:val="20"/>
                <w:szCs w:val="20"/>
              </w:rPr>
            </w:pPr>
            <w:r w:rsidRPr="00C56304">
              <w:rPr>
                <w:rFonts w:cs="Arial"/>
                <w:sz w:val="20"/>
                <w:szCs w:val="20"/>
              </w:rPr>
              <w:t xml:space="preserve">R. 3.111(2) &amp; r.3. 112(2) make reference to the “area of the opening being assessed by a competent person …” and do not prescribe a “geotechnical engineer”.   </w:t>
            </w:r>
          </w:p>
        </w:tc>
      </w:tr>
      <w:tr w:rsidR="004160FC" w:rsidRPr="00C56304" w14:paraId="72B28B5B" w14:textId="77777777" w:rsidTr="00EF3DCC">
        <w:trPr>
          <w:tblHeader/>
        </w:trPr>
        <w:tc>
          <w:tcPr>
            <w:tcW w:w="2962" w:type="dxa"/>
          </w:tcPr>
          <w:p w14:paraId="72B28B55" w14:textId="5C98CEFE" w:rsidR="004160FC" w:rsidRPr="00C56304" w:rsidRDefault="004160FC" w:rsidP="00EF3DCC">
            <w:pPr>
              <w:pStyle w:val="Heading2"/>
              <w:numPr>
                <w:ilvl w:val="0"/>
                <w:numId w:val="37"/>
              </w:numPr>
              <w:ind w:left="455"/>
              <w:outlineLvl w:val="1"/>
              <w:rPr>
                <w:sz w:val="20"/>
                <w:szCs w:val="20"/>
              </w:rPr>
            </w:pPr>
            <w:bookmarkStart w:id="211" w:name="_Toc451257364"/>
            <w:bookmarkStart w:id="212" w:name="_Toc451422083"/>
            <w:bookmarkStart w:id="213" w:name="_Toc451437296"/>
            <w:bookmarkStart w:id="214" w:name="_Toc4661885"/>
            <w:bookmarkStart w:id="215" w:name="_Toc17104663"/>
            <w:r w:rsidRPr="00C56304">
              <w:rPr>
                <w:sz w:val="20"/>
                <w:szCs w:val="20"/>
              </w:rPr>
              <w:t>General construction induction</w:t>
            </w:r>
            <w:bookmarkEnd w:id="211"/>
            <w:bookmarkEnd w:id="212"/>
            <w:bookmarkEnd w:id="213"/>
            <w:r w:rsidRPr="00C56304">
              <w:rPr>
                <w:sz w:val="20"/>
                <w:szCs w:val="20"/>
              </w:rPr>
              <w:t xml:space="preserve"> training</w:t>
            </w:r>
            <w:bookmarkEnd w:id="214"/>
            <w:bookmarkEnd w:id="215"/>
          </w:p>
          <w:p w14:paraId="72B28B56" w14:textId="77777777" w:rsidR="004160FC" w:rsidRPr="00C56304" w:rsidRDefault="004160FC" w:rsidP="00EF3DCC">
            <w:pPr>
              <w:pStyle w:val="Heading2"/>
              <w:ind w:left="455"/>
              <w:outlineLvl w:val="1"/>
              <w:rPr>
                <w:sz w:val="20"/>
                <w:szCs w:val="20"/>
              </w:rPr>
            </w:pPr>
          </w:p>
        </w:tc>
        <w:tc>
          <w:tcPr>
            <w:tcW w:w="3365" w:type="dxa"/>
          </w:tcPr>
          <w:p w14:paraId="72B28B57" w14:textId="77777777" w:rsidR="004160FC" w:rsidRPr="00C56304" w:rsidRDefault="004160FC" w:rsidP="00EF3DCC">
            <w:pPr>
              <w:pStyle w:val="NoSpacing"/>
              <w:jc w:val="left"/>
              <w:rPr>
                <w:rFonts w:cs="Arial"/>
                <w:sz w:val="20"/>
                <w:szCs w:val="20"/>
              </w:rPr>
            </w:pPr>
            <w:r w:rsidRPr="00C56304">
              <w:rPr>
                <w:rFonts w:cs="Arial"/>
                <w:sz w:val="20"/>
                <w:szCs w:val="20"/>
              </w:rPr>
              <w:t xml:space="preserve">Part 6.5 provides the requirements for General construction induction training (CIT). Division 2 of the Part includes the authority for a person who has successfully completed general CIT training to apply to the regulator for the CIT card.  </w:t>
            </w:r>
          </w:p>
          <w:p w14:paraId="72B28B58" w14:textId="77777777" w:rsidR="004160FC" w:rsidRPr="00C56304" w:rsidRDefault="004160FC" w:rsidP="00EF3DCC">
            <w:pPr>
              <w:pStyle w:val="NoSpacing"/>
              <w:jc w:val="left"/>
              <w:rPr>
                <w:rFonts w:cs="Arial"/>
                <w:sz w:val="20"/>
                <w:szCs w:val="20"/>
              </w:rPr>
            </w:pPr>
            <w:r w:rsidRPr="00C56304">
              <w:rPr>
                <w:rFonts w:cs="Arial"/>
                <w:sz w:val="20"/>
                <w:szCs w:val="20"/>
              </w:rPr>
              <w:t>A jurisdictional note recognises that that some jurisdictions have alternative arrangements to issue CIT cards.</w:t>
            </w:r>
          </w:p>
        </w:tc>
        <w:tc>
          <w:tcPr>
            <w:tcW w:w="2962" w:type="dxa"/>
          </w:tcPr>
          <w:p w14:paraId="72B28B59" w14:textId="77777777" w:rsidR="004160FC" w:rsidRPr="00C56304" w:rsidRDefault="004160FC" w:rsidP="00EF3DCC">
            <w:pPr>
              <w:pStyle w:val="NoSpacing"/>
              <w:jc w:val="left"/>
              <w:rPr>
                <w:rFonts w:cs="Arial"/>
                <w:sz w:val="20"/>
                <w:szCs w:val="20"/>
              </w:rPr>
            </w:pPr>
            <w:r w:rsidRPr="00C56304">
              <w:rPr>
                <w:rFonts w:cs="Arial"/>
                <w:sz w:val="20"/>
                <w:szCs w:val="20"/>
              </w:rPr>
              <w:t xml:space="preserve">Division 11 of Part 3 implements the requirements for construction induction training (CIT) in Western Australia.  </w:t>
            </w:r>
          </w:p>
          <w:p w14:paraId="72B28B5A" w14:textId="1834588B" w:rsidR="004160FC" w:rsidRPr="00C56304" w:rsidRDefault="004160FC" w:rsidP="00EF3DCC">
            <w:pPr>
              <w:pStyle w:val="NoSpacing"/>
              <w:jc w:val="left"/>
              <w:rPr>
                <w:rFonts w:cs="Arial"/>
                <w:sz w:val="20"/>
                <w:szCs w:val="20"/>
              </w:rPr>
            </w:pPr>
            <w:r w:rsidRPr="00C56304">
              <w:rPr>
                <w:rFonts w:cs="Arial"/>
                <w:sz w:val="20"/>
                <w:szCs w:val="20"/>
              </w:rPr>
              <w:t>Rather than the regulator issuing the CIT card at the successful completion of the CIT training course, there is authority for the CIT cards to be issued to a person by the Registered Training Organisation that conducted the CIT training course.</w:t>
            </w:r>
          </w:p>
        </w:tc>
      </w:tr>
      <w:tr w:rsidR="004160FC" w:rsidRPr="00C56304" w14:paraId="72B28B60" w14:textId="77777777" w:rsidTr="00EF3DCC">
        <w:trPr>
          <w:tblHeader/>
        </w:trPr>
        <w:tc>
          <w:tcPr>
            <w:tcW w:w="2962" w:type="dxa"/>
          </w:tcPr>
          <w:p w14:paraId="72B28B5C" w14:textId="22DCA912" w:rsidR="004160FC" w:rsidRPr="00C56304" w:rsidRDefault="004160FC" w:rsidP="00EF3DCC">
            <w:pPr>
              <w:pStyle w:val="Heading2"/>
              <w:numPr>
                <w:ilvl w:val="0"/>
                <w:numId w:val="37"/>
              </w:numPr>
              <w:ind w:left="455"/>
              <w:outlineLvl w:val="1"/>
              <w:rPr>
                <w:sz w:val="20"/>
                <w:szCs w:val="20"/>
              </w:rPr>
            </w:pPr>
            <w:bookmarkStart w:id="216" w:name="_Toc451257434"/>
            <w:bookmarkStart w:id="217" w:name="_Toc451422155"/>
            <w:bookmarkStart w:id="218" w:name="_Toc451437368"/>
            <w:bookmarkStart w:id="219" w:name="_Toc4661886"/>
            <w:bookmarkStart w:id="220" w:name="_Toc17104664"/>
            <w:r w:rsidRPr="00C56304">
              <w:rPr>
                <w:sz w:val="20"/>
                <w:szCs w:val="20"/>
              </w:rPr>
              <w:t>Local government notifications</w:t>
            </w:r>
            <w:bookmarkEnd w:id="216"/>
            <w:bookmarkEnd w:id="217"/>
            <w:bookmarkEnd w:id="218"/>
            <w:bookmarkEnd w:id="219"/>
            <w:bookmarkEnd w:id="220"/>
          </w:p>
          <w:p w14:paraId="72B28B5D" w14:textId="77777777" w:rsidR="004160FC" w:rsidRPr="00C56304" w:rsidRDefault="004160FC" w:rsidP="00EF3DCC">
            <w:pPr>
              <w:pStyle w:val="Heading2"/>
              <w:ind w:left="455"/>
              <w:outlineLvl w:val="1"/>
              <w:rPr>
                <w:sz w:val="20"/>
                <w:szCs w:val="20"/>
                <w:lang w:eastAsia="en-AU"/>
              </w:rPr>
            </w:pPr>
          </w:p>
        </w:tc>
        <w:tc>
          <w:tcPr>
            <w:tcW w:w="3365" w:type="dxa"/>
          </w:tcPr>
          <w:p w14:paraId="72B28B5E" w14:textId="77777777" w:rsidR="004160FC" w:rsidRPr="00C56304" w:rsidRDefault="004160FC" w:rsidP="00EF3DCC">
            <w:pPr>
              <w:pStyle w:val="NoSpacing"/>
              <w:jc w:val="left"/>
              <w:rPr>
                <w:rFonts w:cs="Arial"/>
                <w:sz w:val="20"/>
                <w:szCs w:val="20"/>
              </w:rPr>
            </w:pPr>
            <w:r w:rsidRPr="00C56304">
              <w:rPr>
                <w:rFonts w:cs="Arial"/>
                <w:sz w:val="20"/>
                <w:szCs w:val="20"/>
              </w:rPr>
              <w:t xml:space="preserve">No equivalent.  </w:t>
            </w:r>
          </w:p>
        </w:tc>
        <w:tc>
          <w:tcPr>
            <w:tcW w:w="2962" w:type="dxa"/>
          </w:tcPr>
          <w:p w14:paraId="72B28B5F" w14:textId="77777777" w:rsidR="004160FC" w:rsidRPr="00C56304" w:rsidRDefault="004160FC" w:rsidP="00EF3DCC">
            <w:pPr>
              <w:pStyle w:val="NoSpacing"/>
              <w:jc w:val="left"/>
              <w:rPr>
                <w:rFonts w:cs="Arial"/>
                <w:sz w:val="20"/>
                <w:szCs w:val="20"/>
              </w:rPr>
            </w:pPr>
            <w:r w:rsidRPr="00C56304">
              <w:rPr>
                <w:rFonts w:cs="Arial"/>
                <w:sz w:val="20"/>
                <w:szCs w:val="20"/>
              </w:rPr>
              <w:t>R. 2.10 presently requires local governments to notify the Commissioner of all permits issued on a monthly basis in relation to construction work.</w:t>
            </w:r>
          </w:p>
        </w:tc>
      </w:tr>
    </w:tbl>
    <w:p w14:paraId="1156BD1F" w14:textId="77777777" w:rsidR="001621AC" w:rsidRDefault="001621AC"/>
    <w:tbl>
      <w:tblPr>
        <w:tblStyle w:val="TableGrid"/>
        <w:tblpPr w:leftFromText="181" w:rightFromText="181" w:vertAnchor="text" w:tblpY="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62"/>
        <w:gridCol w:w="3365"/>
        <w:gridCol w:w="2962"/>
      </w:tblGrid>
      <w:tr w:rsidR="00414A96" w:rsidRPr="00AD6D48" w14:paraId="72B28B65" w14:textId="77777777" w:rsidTr="00681605">
        <w:trPr>
          <w:tblHeader/>
        </w:trPr>
        <w:tc>
          <w:tcPr>
            <w:tcW w:w="2962" w:type="dxa"/>
            <w:shd w:val="clear" w:color="auto" w:fill="006B6E"/>
          </w:tcPr>
          <w:p w14:paraId="72B28B61" w14:textId="77777777" w:rsidR="00414A96" w:rsidRPr="00AD6D48" w:rsidRDefault="00414A96" w:rsidP="00414A96">
            <w:pPr>
              <w:pStyle w:val="Heading1"/>
              <w:outlineLvl w:val="0"/>
              <w:rPr>
                <w:color w:val="FFFFFF" w:themeColor="background1"/>
                <w:sz w:val="20"/>
                <w:szCs w:val="20"/>
              </w:rPr>
            </w:pPr>
            <w:bookmarkStart w:id="221" w:name="_Toc451257436"/>
            <w:bookmarkStart w:id="222" w:name="_Toc451422157"/>
            <w:bookmarkStart w:id="223" w:name="_Toc451437370"/>
            <w:bookmarkStart w:id="224" w:name="_Toc4661887"/>
            <w:bookmarkStart w:id="225" w:name="_Toc17104665"/>
            <w:r w:rsidRPr="00AD6D48">
              <w:rPr>
                <w:color w:val="FFFFFF" w:themeColor="background1"/>
                <w:sz w:val="20"/>
                <w:szCs w:val="20"/>
              </w:rPr>
              <w:lastRenderedPageBreak/>
              <w:t>Chapter Seven – Hazardous Chemicals</w:t>
            </w:r>
            <w:bookmarkEnd w:id="221"/>
            <w:bookmarkEnd w:id="222"/>
            <w:bookmarkEnd w:id="223"/>
            <w:bookmarkEnd w:id="224"/>
            <w:bookmarkEnd w:id="225"/>
          </w:p>
          <w:p w14:paraId="72B28B62" w14:textId="77777777" w:rsidR="00414A96" w:rsidRPr="00AD6D48" w:rsidRDefault="00414A96" w:rsidP="00414A96">
            <w:pPr>
              <w:pStyle w:val="Heading2"/>
              <w:outlineLvl w:val="1"/>
              <w:rPr>
                <w:color w:val="FFFFFF" w:themeColor="background1"/>
                <w:sz w:val="20"/>
                <w:szCs w:val="20"/>
              </w:rPr>
            </w:pPr>
          </w:p>
        </w:tc>
        <w:tc>
          <w:tcPr>
            <w:tcW w:w="3365" w:type="dxa"/>
            <w:shd w:val="clear" w:color="auto" w:fill="006B6E"/>
          </w:tcPr>
          <w:p w14:paraId="72B28B63" w14:textId="77777777" w:rsidR="00414A96" w:rsidRPr="00AD6D48" w:rsidRDefault="00414A96" w:rsidP="00414A96">
            <w:pPr>
              <w:spacing w:before="120" w:after="120"/>
              <w:rPr>
                <w:rFonts w:cs="Arial"/>
                <w:color w:val="FFFFFF" w:themeColor="background1"/>
                <w:sz w:val="20"/>
                <w:szCs w:val="20"/>
              </w:rPr>
            </w:pPr>
            <w:r w:rsidRPr="00AD6D48">
              <w:rPr>
                <w:rFonts w:ascii="Arial" w:hAnsi="Arial" w:cs="Arial"/>
                <w:color w:val="FFFFFF" w:themeColor="background1"/>
                <w:sz w:val="20"/>
                <w:szCs w:val="20"/>
              </w:rPr>
              <w:t>Part 7 of the WHS regulations deals with ‘Hazardous Chemicals’.  The regulations in Part 7 cover both, ‘occupational health and safety’ provisions and specific requirements that are covered by Dangerous Goods legislation.</w:t>
            </w:r>
          </w:p>
        </w:tc>
        <w:tc>
          <w:tcPr>
            <w:tcW w:w="2962" w:type="dxa"/>
            <w:shd w:val="clear" w:color="auto" w:fill="006B6E"/>
          </w:tcPr>
          <w:p w14:paraId="72B28B64" w14:textId="77777777" w:rsidR="00414A96" w:rsidRPr="00AD6D48" w:rsidRDefault="00414A96" w:rsidP="00414A96">
            <w:pPr>
              <w:pStyle w:val="NoSpacing"/>
              <w:jc w:val="left"/>
              <w:rPr>
                <w:rFonts w:cs="Arial"/>
                <w:color w:val="FFFFFF" w:themeColor="background1"/>
                <w:sz w:val="20"/>
                <w:szCs w:val="20"/>
              </w:rPr>
            </w:pPr>
          </w:p>
        </w:tc>
      </w:tr>
      <w:tr w:rsidR="00414A96" w:rsidRPr="00C56304" w14:paraId="72B28B6A" w14:textId="77777777" w:rsidTr="00681605">
        <w:trPr>
          <w:tblHeader/>
        </w:trPr>
        <w:tc>
          <w:tcPr>
            <w:tcW w:w="2962" w:type="dxa"/>
          </w:tcPr>
          <w:p w14:paraId="72B28B66" w14:textId="77777777" w:rsidR="00414A96" w:rsidRPr="00C56304" w:rsidRDefault="00414A96" w:rsidP="004160FC">
            <w:pPr>
              <w:pStyle w:val="Heading2"/>
              <w:numPr>
                <w:ilvl w:val="0"/>
                <w:numId w:val="37"/>
              </w:numPr>
              <w:ind w:left="455"/>
              <w:outlineLvl w:val="1"/>
              <w:rPr>
                <w:sz w:val="20"/>
                <w:szCs w:val="20"/>
              </w:rPr>
            </w:pPr>
            <w:bookmarkStart w:id="226" w:name="_Toc451257441"/>
            <w:bookmarkStart w:id="227" w:name="_Toc451422162"/>
            <w:bookmarkStart w:id="228" w:name="_Toc451437375"/>
            <w:bookmarkStart w:id="229" w:name="_Toc4661888"/>
            <w:bookmarkStart w:id="230" w:name="_Toc17104666"/>
            <w:r w:rsidRPr="00C56304">
              <w:rPr>
                <w:sz w:val="20"/>
                <w:szCs w:val="20"/>
              </w:rPr>
              <w:t>Dangerous goods</w:t>
            </w:r>
            <w:bookmarkEnd w:id="226"/>
            <w:bookmarkEnd w:id="227"/>
            <w:bookmarkEnd w:id="228"/>
            <w:r w:rsidRPr="00C56304">
              <w:rPr>
                <w:sz w:val="20"/>
                <w:szCs w:val="20"/>
              </w:rPr>
              <w:t xml:space="preserve"> – relevant safety laws</w:t>
            </w:r>
            <w:bookmarkEnd w:id="229"/>
            <w:bookmarkEnd w:id="230"/>
          </w:p>
          <w:p w14:paraId="72B28B67" w14:textId="77777777" w:rsidR="00414A96" w:rsidRPr="00C56304" w:rsidRDefault="00414A96" w:rsidP="004160FC">
            <w:pPr>
              <w:pStyle w:val="Heading1"/>
              <w:ind w:left="455"/>
              <w:outlineLvl w:val="0"/>
              <w:rPr>
                <w:sz w:val="20"/>
                <w:szCs w:val="20"/>
              </w:rPr>
            </w:pPr>
          </w:p>
        </w:tc>
        <w:tc>
          <w:tcPr>
            <w:tcW w:w="3365" w:type="dxa"/>
          </w:tcPr>
          <w:p w14:paraId="72B28B68" w14:textId="77777777" w:rsidR="00414A96" w:rsidRPr="00C56304" w:rsidRDefault="00414A96" w:rsidP="00414A96">
            <w:pPr>
              <w:spacing w:before="120" w:after="120"/>
              <w:rPr>
                <w:rFonts w:ascii="Arial" w:hAnsi="Arial" w:cs="Arial"/>
                <w:sz w:val="20"/>
                <w:szCs w:val="20"/>
              </w:rPr>
            </w:pPr>
            <w:r w:rsidRPr="00C56304">
              <w:rPr>
                <w:rFonts w:ascii="Arial" w:hAnsi="Arial" w:cs="Arial"/>
                <w:sz w:val="20"/>
                <w:szCs w:val="20"/>
              </w:rPr>
              <w:t xml:space="preserve">R. 328 provides for hazardous chemicals, and explosives in the prescribed circumstances and the jurisdictional notes making references to relevant safety laws.  The </w:t>
            </w:r>
            <w:r w:rsidRPr="00C56304">
              <w:rPr>
                <w:rFonts w:ascii="Arial" w:hAnsi="Arial" w:cs="Arial"/>
                <w:i/>
                <w:sz w:val="20"/>
                <w:szCs w:val="20"/>
              </w:rPr>
              <w:t>Dangerous Goods Safety Act 2004</w:t>
            </w:r>
            <w:r w:rsidRPr="00C56304">
              <w:rPr>
                <w:rFonts w:ascii="Arial" w:hAnsi="Arial" w:cs="Arial"/>
                <w:sz w:val="20"/>
                <w:szCs w:val="20"/>
              </w:rPr>
              <w:t xml:space="preserve"> will be inserted as the relevant safety law.</w:t>
            </w:r>
          </w:p>
        </w:tc>
        <w:tc>
          <w:tcPr>
            <w:tcW w:w="2962" w:type="dxa"/>
          </w:tcPr>
          <w:p w14:paraId="72B28B69" w14:textId="36BCED5D" w:rsidR="00414A96" w:rsidRPr="00C56304" w:rsidRDefault="00414A96" w:rsidP="00414A96">
            <w:pPr>
              <w:pStyle w:val="NoSpacing"/>
              <w:jc w:val="left"/>
              <w:rPr>
                <w:rFonts w:cs="Arial"/>
                <w:sz w:val="20"/>
                <w:szCs w:val="20"/>
              </w:rPr>
            </w:pPr>
            <w:r w:rsidRPr="00C56304">
              <w:rPr>
                <w:rFonts w:cs="Arial"/>
                <w:sz w:val="20"/>
                <w:szCs w:val="20"/>
              </w:rPr>
              <w:t>No equivalent</w:t>
            </w:r>
            <w:r w:rsidR="009E6FF6">
              <w:rPr>
                <w:rFonts w:cs="Arial"/>
                <w:sz w:val="20"/>
                <w:szCs w:val="20"/>
              </w:rPr>
              <w:t>.</w:t>
            </w:r>
          </w:p>
        </w:tc>
      </w:tr>
      <w:tr w:rsidR="00414A96" w:rsidRPr="00C56304" w14:paraId="72B28B73" w14:textId="77777777" w:rsidTr="00681605">
        <w:trPr>
          <w:tblHeader/>
        </w:trPr>
        <w:tc>
          <w:tcPr>
            <w:tcW w:w="2962" w:type="dxa"/>
          </w:tcPr>
          <w:p w14:paraId="72B28B6B" w14:textId="77777777" w:rsidR="00414A96" w:rsidRPr="00C56304" w:rsidRDefault="00414A96" w:rsidP="004160FC">
            <w:pPr>
              <w:pStyle w:val="Heading2"/>
              <w:numPr>
                <w:ilvl w:val="0"/>
                <w:numId w:val="37"/>
              </w:numPr>
              <w:ind w:left="455"/>
              <w:outlineLvl w:val="1"/>
              <w:rPr>
                <w:sz w:val="20"/>
                <w:szCs w:val="20"/>
              </w:rPr>
            </w:pPr>
            <w:bookmarkStart w:id="231" w:name="_Toc4661889"/>
            <w:bookmarkStart w:id="232" w:name="_Toc17104667"/>
            <w:r w:rsidRPr="00C56304">
              <w:rPr>
                <w:sz w:val="20"/>
                <w:szCs w:val="20"/>
              </w:rPr>
              <w:t>Dangerous goods – overlap</w:t>
            </w:r>
            <w:bookmarkEnd w:id="231"/>
            <w:bookmarkEnd w:id="232"/>
          </w:p>
          <w:p w14:paraId="72B28B6C" w14:textId="77777777" w:rsidR="00414A96" w:rsidRPr="00C56304" w:rsidRDefault="00414A96" w:rsidP="004160FC">
            <w:pPr>
              <w:pStyle w:val="Heading2"/>
              <w:ind w:left="455"/>
              <w:outlineLvl w:val="1"/>
              <w:rPr>
                <w:sz w:val="20"/>
                <w:szCs w:val="20"/>
              </w:rPr>
            </w:pPr>
          </w:p>
        </w:tc>
        <w:tc>
          <w:tcPr>
            <w:tcW w:w="3365" w:type="dxa"/>
          </w:tcPr>
          <w:p w14:paraId="72B28B6D" w14:textId="77777777" w:rsidR="00414A96" w:rsidRPr="00C56304" w:rsidRDefault="00414A96" w:rsidP="00414A96">
            <w:pPr>
              <w:spacing w:before="120" w:after="120"/>
              <w:rPr>
                <w:rFonts w:ascii="Arial" w:eastAsiaTheme="majorEastAsia" w:hAnsi="Arial" w:cs="Arial"/>
                <w:sz w:val="20"/>
                <w:szCs w:val="20"/>
              </w:rPr>
            </w:pPr>
            <w:r w:rsidRPr="00C56304">
              <w:rPr>
                <w:rFonts w:ascii="Arial" w:eastAsiaTheme="majorEastAsia" w:hAnsi="Arial" w:cs="Arial"/>
                <w:sz w:val="20"/>
                <w:szCs w:val="20"/>
              </w:rPr>
              <w:t>Dangerous goods and major hazard facilities will remain under dangerous goods legislation.  However, t</w:t>
            </w:r>
            <w:r w:rsidRPr="00C56304">
              <w:rPr>
                <w:rFonts w:ascii="Arial" w:hAnsi="Arial" w:cs="Arial"/>
                <w:sz w:val="20"/>
                <w:szCs w:val="20"/>
              </w:rPr>
              <w:t xml:space="preserve">he approach to dangerous goods, including major hazard facilities will be reviewed within two years of the WHS Act being proclaimed in Western Australia, with a view to determining whether dangerous goods and major hazard facility regulations are brought under the WHS Act.  </w:t>
            </w:r>
          </w:p>
          <w:p w14:paraId="72B28B6E" w14:textId="77777777" w:rsidR="00414A96" w:rsidRPr="00C56304" w:rsidRDefault="00414A96" w:rsidP="00414A96">
            <w:pPr>
              <w:spacing w:before="120" w:after="120"/>
              <w:rPr>
                <w:rFonts w:ascii="Arial" w:hAnsi="Arial" w:cs="Arial"/>
                <w:sz w:val="20"/>
                <w:szCs w:val="20"/>
                <w:lang w:eastAsia="en-AU"/>
              </w:rPr>
            </w:pPr>
            <w:r w:rsidRPr="00C56304">
              <w:rPr>
                <w:rFonts w:ascii="Arial" w:hAnsi="Arial" w:cs="Arial"/>
                <w:sz w:val="20"/>
                <w:szCs w:val="20"/>
                <w:lang w:val="en-US" w:eastAsia="en-AU"/>
              </w:rPr>
              <w:t xml:space="preserve">Because the </w:t>
            </w:r>
            <w:r w:rsidRPr="00C56304">
              <w:rPr>
                <w:rFonts w:ascii="Arial" w:hAnsi="Arial" w:cs="Arial"/>
                <w:i/>
                <w:sz w:val="20"/>
                <w:szCs w:val="20"/>
                <w:lang w:val="en-US" w:eastAsia="en-AU"/>
              </w:rPr>
              <w:t>Dangerous Goods Safety Act 2004</w:t>
            </w:r>
            <w:r w:rsidRPr="00C56304">
              <w:rPr>
                <w:rFonts w:ascii="Arial" w:hAnsi="Arial" w:cs="Arial"/>
                <w:sz w:val="20"/>
                <w:szCs w:val="20"/>
                <w:lang w:val="en-US" w:eastAsia="en-AU"/>
              </w:rPr>
              <w:t xml:space="preserve"> and its regulations will continue to operate, there will be some overlap between the dangerous goods legislation and Chapter 7 – Hazardous chemicals of the model WHS regulations.  To address this overlap, it is proposed that the following model WHS regulations</w:t>
            </w:r>
            <w:r w:rsidRPr="00C56304">
              <w:rPr>
                <w:rFonts w:ascii="Arial" w:hAnsi="Arial" w:cs="Arial"/>
                <w:sz w:val="20"/>
                <w:szCs w:val="20"/>
                <w:lang w:eastAsia="en-AU"/>
              </w:rPr>
              <w:t xml:space="preserve"> 336, 347, 348, 349, 350, are deleted: 354, 361, 364 to 367 and 389 to 391.  As a consequence </w:t>
            </w:r>
            <w:r w:rsidRPr="00C56304">
              <w:rPr>
                <w:rFonts w:ascii="Arial" w:hAnsi="Arial" w:cs="Arial"/>
                <w:sz w:val="20"/>
                <w:szCs w:val="20"/>
              </w:rPr>
              <w:t xml:space="preserve">schedules (11, 12 &amp; 13) are also proposed for deletion. </w:t>
            </w:r>
            <w:r w:rsidRPr="00C56304">
              <w:rPr>
                <w:rFonts w:ascii="Arial" w:hAnsi="Arial" w:cs="Arial"/>
                <w:sz w:val="20"/>
                <w:szCs w:val="20"/>
                <w:lang w:eastAsia="en-AU"/>
              </w:rPr>
              <w:t xml:space="preserve"> </w:t>
            </w:r>
          </w:p>
          <w:p w14:paraId="72B28B6F" w14:textId="3750C5B0" w:rsidR="00414A96" w:rsidRPr="00C56304" w:rsidRDefault="00414A96" w:rsidP="00414A96">
            <w:pPr>
              <w:spacing w:before="120" w:after="120"/>
              <w:rPr>
                <w:rFonts w:ascii="Arial" w:hAnsi="Arial" w:cs="Arial"/>
                <w:sz w:val="20"/>
                <w:szCs w:val="20"/>
                <w:lang w:eastAsia="en-AU"/>
              </w:rPr>
            </w:pPr>
            <w:r w:rsidRPr="00C56304">
              <w:rPr>
                <w:rFonts w:ascii="Arial" w:hAnsi="Arial" w:cs="Arial"/>
                <w:sz w:val="20"/>
                <w:szCs w:val="20"/>
                <w:lang w:eastAsia="en-AU"/>
              </w:rPr>
              <w:t xml:space="preserve">For further information, please </w:t>
            </w:r>
            <w:r w:rsidRPr="00CD6353">
              <w:rPr>
                <w:rFonts w:ascii="Arial" w:hAnsi="Arial" w:cs="Arial"/>
                <w:sz w:val="20"/>
                <w:szCs w:val="20"/>
                <w:lang w:eastAsia="en-AU"/>
              </w:rPr>
              <w:t xml:space="preserve">review </w:t>
            </w:r>
            <w:hyperlink r:id="rId27" w:history="1">
              <w:r w:rsidRPr="00CD6353">
                <w:rPr>
                  <w:rStyle w:val="Hyperlink"/>
                  <w:rFonts w:ascii="Arial" w:hAnsi="Arial" w:cs="Arial"/>
                  <w:sz w:val="20"/>
                  <w:szCs w:val="20"/>
                  <w:lang w:val="en-US" w:eastAsia="en-AU"/>
                </w:rPr>
                <w:t xml:space="preserve">Proposed deletions in Western Australia to remove overlap with the </w:t>
              </w:r>
              <w:r w:rsidRPr="00CD6353">
                <w:rPr>
                  <w:rStyle w:val="Hyperlink"/>
                  <w:rFonts w:ascii="Arial" w:hAnsi="Arial" w:cs="Arial"/>
                  <w:i/>
                  <w:sz w:val="20"/>
                  <w:szCs w:val="20"/>
                  <w:lang w:val="en-US" w:eastAsia="en-AU"/>
                </w:rPr>
                <w:t>Dangerous Goods Safety Act 2004</w:t>
              </w:r>
            </w:hyperlink>
            <w:r w:rsidRPr="00CD6353">
              <w:rPr>
                <w:rFonts w:ascii="Arial" w:hAnsi="Arial" w:cs="Arial"/>
                <w:sz w:val="20"/>
                <w:szCs w:val="20"/>
                <w:lang w:val="en-US" w:eastAsia="en-AU"/>
              </w:rPr>
              <w:t xml:space="preserve">.  </w:t>
            </w:r>
            <w:r w:rsidRPr="00C56304">
              <w:rPr>
                <w:rFonts w:ascii="Arial" w:hAnsi="Arial" w:cs="Arial"/>
                <w:sz w:val="20"/>
                <w:szCs w:val="20"/>
                <w:lang w:val="en-US" w:eastAsia="en-AU"/>
              </w:rPr>
              <w:t xml:space="preserve">The document explains the </w:t>
            </w:r>
            <w:r w:rsidRPr="00C56304">
              <w:rPr>
                <w:rFonts w:ascii="Arial" w:hAnsi="Arial" w:cs="Arial"/>
                <w:sz w:val="20"/>
                <w:szCs w:val="20"/>
                <w:lang w:eastAsia="en-AU"/>
              </w:rPr>
              <w:t xml:space="preserve">the reasons for the proposed deletions.  </w:t>
            </w:r>
          </w:p>
          <w:p w14:paraId="72B28B70" w14:textId="77777777" w:rsidR="00414A96" w:rsidRPr="00C56304" w:rsidRDefault="00414A96" w:rsidP="00414A96">
            <w:pPr>
              <w:spacing w:before="120" w:after="120"/>
              <w:rPr>
                <w:rFonts w:ascii="Arial" w:hAnsi="Arial" w:cs="Arial"/>
                <w:sz w:val="20"/>
                <w:szCs w:val="20"/>
                <w:lang w:eastAsia="en-AU"/>
              </w:rPr>
            </w:pPr>
            <w:r w:rsidRPr="00C56304">
              <w:rPr>
                <w:rFonts w:ascii="Arial" w:hAnsi="Arial" w:cs="Arial"/>
                <w:sz w:val="20"/>
                <w:szCs w:val="20"/>
                <w:lang w:eastAsia="en-AU"/>
              </w:rPr>
              <w:t xml:space="preserve">Matters covered by these hazardous chemicals regulations include packaging and age restrictions for supply, manifest quantities, placard requirements, emergency plans, storage and handling systems and pipelines.  There will also be consequential </w:t>
            </w:r>
            <w:r w:rsidRPr="00C56304">
              <w:rPr>
                <w:rFonts w:ascii="Arial" w:hAnsi="Arial" w:cs="Arial"/>
                <w:sz w:val="20"/>
                <w:szCs w:val="20"/>
                <w:lang w:eastAsia="en-AU"/>
              </w:rPr>
              <w:lastRenderedPageBreak/>
              <w:t>amendments to definitions and Schedules in the WHS regulations.</w:t>
            </w:r>
          </w:p>
          <w:p w14:paraId="72B28B71" w14:textId="271786C7" w:rsidR="00414A96" w:rsidRPr="00C56304" w:rsidRDefault="00414A96" w:rsidP="00A07CF9">
            <w:pPr>
              <w:spacing w:before="120" w:after="120"/>
              <w:rPr>
                <w:rFonts w:ascii="Arial" w:hAnsi="Arial" w:cs="Arial"/>
                <w:sz w:val="20"/>
                <w:szCs w:val="20"/>
              </w:rPr>
            </w:pPr>
            <w:r w:rsidRPr="00C56304">
              <w:rPr>
                <w:rFonts w:ascii="Arial" w:eastAsiaTheme="majorEastAsia" w:hAnsi="Arial" w:cs="Arial"/>
                <w:sz w:val="20"/>
                <w:szCs w:val="20"/>
              </w:rPr>
              <w:t>If you would like to make comment about proposed dangerous goods deletions</w:t>
            </w:r>
            <w:r w:rsidR="00A07CF9">
              <w:rPr>
                <w:rFonts w:ascii="Arial" w:eastAsiaTheme="majorEastAsia" w:hAnsi="Arial" w:cs="Arial"/>
                <w:sz w:val="20"/>
                <w:szCs w:val="20"/>
              </w:rPr>
              <w:t xml:space="preserve"> use the submission template.</w:t>
            </w:r>
          </w:p>
        </w:tc>
        <w:tc>
          <w:tcPr>
            <w:tcW w:w="2962" w:type="dxa"/>
          </w:tcPr>
          <w:p w14:paraId="72B28B72" w14:textId="77777777" w:rsidR="00414A96" w:rsidRPr="00C56304" w:rsidRDefault="00414A96" w:rsidP="00414A96">
            <w:pPr>
              <w:pStyle w:val="NoSpacing"/>
              <w:jc w:val="left"/>
              <w:rPr>
                <w:rFonts w:cs="Arial"/>
                <w:sz w:val="20"/>
                <w:szCs w:val="20"/>
              </w:rPr>
            </w:pPr>
          </w:p>
        </w:tc>
      </w:tr>
      <w:tr w:rsidR="001621AC" w:rsidRPr="00C56304" w14:paraId="56E958E6" w14:textId="77777777" w:rsidTr="00681605">
        <w:trPr>
          <w:tblHeader/>
        </w:trPr>
        <w:tc>
          <w:tcPr>
            <w:tcW w:w="2962" w:type="dxa"/>
          </w:tcPr>
          <w:p w14:paraId="309633C2" w14:textId="14DE50B0" w:rsidR="001621AC" w:rsidRPr="00C56304" w:rsidRDefault="001621AC" w:rsidP="004160FC">
            <w:pPr>
              <w:pStyle w:val="Heading2"/>
              <w:numPr>
                <w:ilvl w:val="0"/>
                <w:numId w:val="37"/>
              </w:numPr>
              <w:ind w:left="455"/>
              <w:outlineLvl w:val="1"/>
              <w:rPr>
                <w:sz w:val="20"/>
                <w:szCs w:val="20"/>
              </w:rPr>
            </w:pPr>
            <w:bookmarkStart w:id="233" w:name="_Toc17104668"/>
            <w:r w:rsidRPr="001621AC">
              <w:rPr>
                <w:sz w:val="20"/>
                <w:szCs w:val="20"/>
              </w:rPr>
              <w:t>Classification of chemicals</w:t>
            </w:r>
            <w:bookmarkEnd w:id="233"/>
          </w:p>
        </w:tc>
        <w:tc>
          <w:tcPr>
            <w:tcW w:w="3365" w:type="dxa"/>
          </w:tcPr>
          <w:p w14:paraId="2FCA2882" w14:textId="77777777" w:rsidR="001621AC" w:rsidRPr="001621AC" w:rsidRDefault="001621AC" w:rsidP="001621AC">
            <w:pPr>
              <w:spacing w:before="120" w:after="120"/>
              <w:jc w:val="both"/>
              <w:rPr>
                <w:rFonts w:ascii="Arial" w:hAnsi="Arial" w:cs="Arial"/>
                <w:sz w:val="20"/>
                <w:szCs w:val="20"/>
                <w:lang w:eastAsia="en-AU"/>
              </w:rPr>
            </w:pPr>
            <w:r w:rsidRPr="001621AC">
              <w:rPr>
                <w:rFonts w:ascii="Arial" w:hAnsi="Arial" w:cs="Arial"/>
                <w:sz w:val="20"/>
                <w:szCs w:val="20"/>
                <w:lang w:eastAsia="en-AU"/>
              </w:rPr>
              <w:t xml:space="preserve">R. 329 requires the manufacturer or importer of a chemical to determine whether it is hazardous or not in accordance with the 3rd revised edition of the GHS. Safe Work Australia is currently consulting publicly in relation to changing this to the 7th revised edition of the GHS and the transitional arrangements for this. </w:t>
            </w:r>
          </w:p>
          <w:p w14:paraId="0D4C5FD6" w14:textId="7980E262" w:rsidR="001621AC" w:rsidRPr="001621AC" w:rsidRDefault="001621AC" w:rsidP="001621AC">
            <w:pPr>
              <w:spacing w:before="120" w:after="120"/>
              <w:rPr>
                <w:rFonts w:ascii="Arial" w:hAnsi="Arial" w:cs="Arial"/>
                <w:sz w:val="20"/>
                <w:szCs w:val="20"/>
                <w:lang w:eastAsia="en-AU"/>
              </w:rPr>
            </w:pPr>
            <w:r w:rsidRPr="001621AC">
              <w:rPr>
                <w:rFonts w:ascii="Arial" w:hAnsi="Arial" w:cs="Arial"/>
                <w:sz w:val="20"/>
                <w:szCs w:val="20"/>
                <w:lang w:eastAsia="en-AU"/>
              </w:rPr>
              <w:t xml:space="preserve">Classification information is used in labelling and safety data sheet regulations (335 and 330). </w:t>
            </w:r>
          </w:p>
        </w:tc>
        <w:tc>
          <w:tcPr>
            <w:tcW w:w="2962" w:type="dxa"/>
          </w:tcPr>
          <w:p w14:paraId="46055DB9" w14:textId="6079BDAA" w:rsidR="001621AC" w:rsidRPr="001621AC" w:rsidRDefault="001621AC" w:rsidP="001621AC">
            <w:pPr>
              <w:pStyle w:val="NoSpacing"/>
              <w:jc w:val="left"/>
              <w:rPr>
                <w:rFonts w:eastAsia="Times New Roman" w:cs="Arial"/>
                <w:sz w:val="20"/>
                <w:szCs w:val="20"/>
                <w:lang w:eastAsia="en-AU"/>
              </w:rPr>
            </w:pPr>
            <w:r w:rsidRPr="001621AC">
              <w:rPr>
                <w:rFonts w:eastAsia="Times New Roman" w:cs="Arial"/>
                <w:sz w:val="20"/>
                <w:szCs w:val="20"/>
                <w:lang w:eastAsia="en-AU"/>
              </w:rPr>
              <w:t>Reg. 5.3 requires the manufacturer or importer of a chemical to determine whether it is hazardous or not in accordance with either the Approved Criteria [NOHSC: 2011(2003)] or the 3rd revised edition of the GHS.</w:t>
            </w:r>
          </w:p>
        </w:tc>
      </w:tr>
      <w:tr w:rsidR="001621AC" w:rsidRPr="00C56304" w14:paraId="617A6CA7" w14:textId="77777777" w:rsidTr="00681605">
        <w:trPr>
          <w:tblHeader/>
        </w:trPr>
        <w:tc>
          <w:tcPr>
            <w:tcW w:w="2962" w:type="dxa"/>
          </w:tcPr>
          <w:p w14:paraId="1F57AC37" w14:textId="396E0A89" w:rsidR="001621AC" w:rsidRPr="00C56304" w:rsidRDefault="001621AC" w:rsidP="004160FC">
            <w:pPr>
              <w:pStyle w:val="Heading2"/>
              <w:numPr>
                <w:ilvl w:val="0"/>
                <w:numId w:val="37"/>
              </w:numPr>
              <w:ind w:left="455"/>
              <w:outlineLvl w:val="1"/>
              <w:rPr>
                <w:sz w:val="20"/>
                <w:szCs w:val="20"/>
              </w:rPr>
            </w:pPr>
            <w:bookmarkStart w:id="234" w:name="_Toc17104669"/>
            <w:r w:rsidRPr="001621AC">
              <w:rPr>
                <w:sz w:val="20"/>
                <w:szCs w:val="20"/>
              </w:rPr>
              <w:t>Information and training in relation to chemicals</w:t>
            </w:r>
            <w:bookmarkEnd w:id="234"/>
          </w:p>
        </w:tc>
        <w:tc>
          <w:tcPr>
            <w:tcW w:w="3365" w:type="dxa"/>
          </w:tcPr>
          <w:p w14:paraId="4D96F333" w14:textId="2A748522" w:rsidR="001621AC" w:rsidRPr="001621AC" w:rsidRDefault="00C729C8" w:rsidP="001621AC">
            <w:pPr>
              <w:spacing w:before="120" w:after="120"/>
              <w:jc w:val="both"/>
              <w:rPr>
                <w:rFonts w:ascii="Arial" w:hAnsi="Arial" w:cs="Arial"/>
                <w:sz w:val="20"/>
                <w:szCs w:val="20"/>
                <w:lang w:eastAsia="en-AU"/>
              </w:rPr>
            </w:pPr>
            <w:r>
              <w:rPr>
                <w:rFonts w:ascii="Arial" w:hAnsi="Arial" w:cs="Arial"/>
                <w:sz w:val="20"/>
                <w:szCs w:val="20"/>
                <w:lang w:eastAsia="en-AU"/>
              </w:rPr>
              <w:t xml:space="preserve">R. </w:t>
            </w:r>
            <w:r w:rsidR="001621AC" w:rsidRPr="001621AC">
              <w:rPr>
                <w:rFonts w:ascii="Arial" w:hAnsi="Arial" w:cs="Arial"/>
                <w:sz w:val="20"/>
                <w:szCs w:val="20"/>
                <w:lang w:eastAsia="en-AU"/>
              </w:rPr>
              <w:t xml:space="preserve">39 provides a general requirement for a PCBU to provide adequate information, instruction and training to workers. </w:t>
            </w:r>
          </w:p>
          <w:p w14:paraId="01767C99" w14:textId="32FCC5AB" w:rsidR="001621AC" w:rsidRPr="001621AC" w:rsidRDefault="001621AC" w:rsidP="001621AC">
            <w:pPr>
              <w:spacing w:before="120" w:after="120"/>
              <w:rPr>
                <w:rFonts w:ascii="Arial" w:hAnsi="Arial" w:cs="Arial"/>
                <w:sz w:val="20"/>
                <w:szCs w:val="20"/>
                <w:lang w:eastAsia="en-AU"/>
              </w:rPr>
            </w:pPr>
            <w:r w:rsidRPr="001621AC">
              <w:rPr>
                <w:rFonts w:ascii="Arial" w:hAnsi="Arial" w:cs="Arial"/>
                <w:sz w:val="20"/>
                <w:szCs w:val="20"/>
                <w:lang w:eastAsia="en-AU"/>
              </w:rPr>
              <w:t>There is not a specific record keeping duty.</w:t>
            </w:r>
          </w:p>
        </w:tc>
        <w:tc>
          <w:tcPr>
            <w:tcW w:w="2962" w:type="dxa"/>
          </w:tcPr>
          <w:p w14:paraId="3996990D" w14:textId="2637F84E" w:rsidR="001621AC" w:rsidRPr="001621AC" w:rsidRDefault="001621AC" w:rsidP="001621AC">
            <w:pPr>
              <w:pStyle w:val="NoSpacing"/>
              <w:jc w:val="left"/>
              <w:rPr>
                <w:rFonts w:eastAsia="Times New Roman" w:cs="Arial"/>
                <w:sz w:val="20"/>
                <w:szCs w:val="20"/>
                <w:lang w:eastAsia="en-AU"/>
              </w:rPr>
            </w:pPr>
            <w:r w:rsidRPr="001621AC">
              <w:rPr>
                <w:rFonts w:eastAsia="Times New Roman" w:cs="Arial"/>
                <w:sz w:val="20"/>
                <w:szCs w:val="20"/>
                <w:lang w:eastAsia="en-AU"/>
              </w:rPr>
              <w:t>Reg. 5.21 requires that duty holders provide those who are likely to be exposed to a hazardous substance at work with information about and training on health risks, control measures, PPE and health surveillance, and keep records of the training</w:t>
            </w:r>
          </w:p>
        </w:tc>
      </w:tr>
      <w:tr w:rsidR="00414A96" w:rsidRPr="00C56304" w14:paraId="72B28B78" w14:textId="77777777" w:rsidTr="00681605">
        <w:trPr>
          <w:tblHeader/>
        </w:trPr>
        <w:tc>
          <w:tcPr>
            <w:tcW w:w="2962" w:type="dxa"/>
          </w:tcPr>
          <w:p w14:paraId="72B28B74" w14:textId="77777777" w:rsidR="00414A96" w:rsidRPr="00C56304" w:rsidRDefault="00414A96" w:rsidP="004160FC">
            <w:pPr>
              <w:pStyle w:val="Heading2"/>
              <w:numPr>
                <w:ilvl w:val="0"/>
                <w:numId w:val="37"/>
              </w:numPr>
              <w:ind w:left="455"/>
              <w:outlineLvl w:val="1"/>
              <w:rPr>
                <w:sz w:val="20"/>
                <w:szCs w:val="20"/>
              </w:rPr>
            </w:pPr>
            <w:bookmarkStart w:id="235" w:name="_Toc4661890"/>
            <w:bookmarkStart w:id="236" w:name="_Toc17104670"/>
            <w:r w:rsidRPr="00C56304">
              <w:rPr>
                <w:sz w:val="20"/>
                <w:szCs w:val="20"/>
              </w:rPr>
              <w:t>Duty to provide health monitoring</w:t>
            </w:r>
            <w:bookmarkEnd w:id="235"/>
            <w:bookmarkEnd w:id="236"/>
          </w:p>
          <w:p w14:paraId="72B28B75" w14:textId="77777777" w:rsidR="00414A96" w:rsidRPr="00C56304" w:rsidRDefault="00414A96" w:rsidP="004160FC">
            <w:pPr>
              <w:pStyle w:val="Heading2"/>
              <w:ind w:left="455" w:hanging="360"/>
              <w:outlineLvl w:val="1"/>
              <w:rPr>
                <w:sz w:val="20"/>
                <w:szCs w:val="20"/>
              </w:rPr>
            </w:pPr>
          </w:p>
        </w:tc>
        <w:tc>
          <w:tcPr>
            <w:tcW w:w="3365" w:type="dxa"/>
          </w:tcPr>
          <w:p w14:paraId="72B28B76" w14:textId="77777777" w:rsidR="00414A96" w:rsidRPr="00C56304" w:rsidRDefault="00414A96" w:rsidP="00414A96">
            <w:pPr>
              <w:spacing w:before="120" w:after="120"/>
              <w:rPr>
                <w:rFonts w:ascii="Arial" w:eastAsiaTheme="majorEastAsia" w:hAnsi="Arial" w:cs="Arial"/>
                <w:sz w:val="20"/>
                <w:szCs w:val="20"/>
              </w:rPr>
            </w:pPr>
            <w:r w:rsidRPr="00C56304">
              <w:rPr>
                <w:rFonts w:ascii="Arial" w:hAnsi="Arial" w:cs="Arial"/>
                <w:sz w:val="20"/>
                <w:szCs w:val="20"/>
                <w:lang w:eastAsia="en-AU"/>
              </w:rPr>
              <w:t xml:space="preserve">R. 368 provides the triggers for health monitoring for hazardous chemicals.  Sub-regulations 368(a) requires health monitoring due to a </w:t>
            </w:r>
            <w:r w:rsidRPr="00C56304">
              <w:rPr>
                <w:rFonts w:ascii="Arial" w:hAnsi="Arial" w:cs="Arial"/>
                <w:i/>
                <w:sz w:val="20"/>
                <w:szCs w:val="20"/>
                <w:lang w:eastAsia="en-AU"/>
              </w:rPr>
              <w:t>significant risk</w:t>
            </w:r>
            <w:r w:rsidRPr="00C56304">
              <w:rPr>
                <w:rFonts w:ascii="Arial" w:hAnsi="Arial" w:cs="Arial"/>
                <w:sz w:val="20"/>
                <w:szCs w:val="20"/>
                <w:lang w:eastAsia="en-AU"/>
              </w:rPr>
              <w:t xml:space="preserve"> to the worker’s health because of exposure to a scheduled hazardous chemical.  </w:t>
            </w:r>
          </w:p>
        </w:tc>
        <w:tc>
          <w:tcPr>
            <w:tcW w:w="2962" w:type="dxa"/>
          </w:tcPr>
          <w:p w14:paraId="72B28B77" w14:textId="77777777" w:rsidR="00414A96" w:rsidRPr="00C56304" w:rsidRDefault="00414A96" w:rsidP="00414A96">
            <w:pPr>
              <w:pStyle w:val="NoSpacing"/>
              <w:jc w:val="left"/>
              <w:rPr>
                <w:rFonts w:eastAsia="Times New Roman" w:cs="Arial"/>
                <w:sz w:val="20"/>
                <w:szCs w:val="20"/>
                <w:lang w:eastAsia="en-AU"/>
              </w:rPr>
            </w:pPr>
            <w:r w:rsidRPr="00C56304">
              <w:rPr>
                <w:rFonts w:eastAsia="Times New Roman" w:cs="Arial"/>
                <w:sz w:val="20"/>
                <w:szCs w:val="20"/>
                <w:lang w:eastAsia="en-AU"/>
              </w:rPr>
              <w:t xml:space="preserve">For r. 5.23(1) the health surveillance threshold is where the health of a person is </w:t>
            </w:r>
            <w:r w:rsidRPr="00C56304">
              <w:rPr>
                <w:rFonts w:eastAsia="Times New Roman" w:cs="Arial"/>
                <w:i/>
                <w:sz w:val="20"/>
                <w:szCs w:val="20"/>
                <w:lang w:eastAsia="en-AU"/>
              </w:rPr>
              <w:t>at risk</w:t>
            </w:r>
            <w:r w:rsidRPr="00C56304">
              <w:rPr>
                <w:rFonts w:eastAsia="Times New Roman" w:cs="Arial"/>
                <w:sz w:val="20"/>
                <w:szCs w:val="20"/>
                <w:lang w:eastAsia="en-AU"/>
              </w:rPr>
              <w:t xml:space="preserve"> due to exposure to the scheduled chemical, not at </w:t>
            </w:r>
            <w:r w:rsidRPr="00C56304">
              <w:rPr>
                <w:rFonts w:eastAsia="Times New Roman" w:cs="Arial"/>
                <w:i/>
                <w:sz w:val="20"/>
                <w:szCs w:val="20"/>
                <w:lang w:eastAsia="en-AU"/>
              </w:rPr>
              <w:t>significant risk</w:t>
            </w:r>
            <w:r w:rsidRPr="00C56304">
              <w:rPr>
                <w:rFonts w:eastAsia="Times New Roman" w:cs="Arial"/>
                <w:sz w:val="20"/>
                <w:szCs w:val="20"/>
                <w:lang w:eastAsia="en-AU"/>
              </w:rPr>
              <w:t>.</w:t>
            </w:r>
          </w:p>
        </w:tc>
      </w:tr>
      <w:tr w:rsidR="00414A96" w:rsidRPr="00C56304" w14:paraId="72B28B7D" w14:textId="77777777" w:rsidTr="00681605">
        <w:trPr>
          <w:tblHeader/>
        </w:trPr>
        <w:tc>
          <w:tcPr>
            <w:tcW w:w="2962" w:type="dxa"/>
          </w:tcPr>
          <w:p w14:paraId="72B28B79" w14:textId="77777777" w:rsidR="00414A96" w:rsidRPr="00C56304" w:rsidRDefault="00414A96" w:rsidP="004160FC">
            <w:pPr>
              <w:pStyle w:val="Heading2"/>
              <w:numPr>
                <w:ilvl w:val="0"/>
                <w:numId w:val="37"/>
              </w:numPr>
              <w:ind w:left="455"/>
              <w:outlineLvl w:val="1"/>
              <w:rPr>
                <w:sz w:val="20"/>
                <w:szCs w:val="20"/>
              </w:rPr>
            </w:pPr>
            <w:bookmarkStart w:id="237" w:name="_Toc4661891"/>
            <w:bookmarkStart w:id="238" w:name="_Toc17104671"/>
            <w:r w:rsidRPr="00C56304">
              <w:rPr>
                <w:sz w:val="20"/>
                <w:szCs w:val="20"/>
              </w:rPr>
              <w:t>Duty to give health monitoring report to regulator</w:t>
            </w:r>
            <w:bookmarkEnd w:id="237"/>
            <w:bookmarkEnd w:id="238"/>
          </w:p>
          <w:p w14:paraId="72B28B7A" w14:textId="77777777" w:rsidR="00414A96" w:rsidRPr="00C56304" w:rsidRDefault="00414A96" w:rsidP="004160FC">
            <w:pPr>
              <w:pStyle w:val="Heading2"/>
              <w:ind w:left="455" w:hanging="360"/>
              <w:outlineLvl w:val="1"/>
              <w:rPr>
                <w:sz w:val="20"/>
                <w:szCs w:val="20"/>
              </w:rPr>
            </w:pPr>
          </w:p>
        </w:tc>
        <w:tc>
          <w:tcPr>
            <w:tcW w:w="3365" w:type="dxa"/>
          </w:tcPr>
          <w:p w14:paraId="72B28B7B" w14:textId="77777777" w:rsidR="00414A96" w:rsidRPr="00C56304" w:rsidRDefault="00414A96" w:rsidP="00414A96">
            <w:pPr>
              <w:pStyle w:val="NoSpacing"/>
              <w:jc w:val="left"/>
              <w:rPr>
                <w:rFonts w:eastAsia="Times New Roman" w:cs="Arial"/>
                <w:sz w:val="20"/>
                <w:szCs w:val="20"/>
                <w:lang w:eastAsia="en-AU"/>
              </w:rPr>
            </w:pPr>
            <w:r w:rsidRPr="00C56304">
              <w:rPr>
                <w:rFonts w:cs="Arial"/>
                <w:sz w:val="20"/>
                <w:szCs w:val="20"/>
              </w:rPr>
              <w:t xml:space="preserve">R. 376 places a duty on the PCBU to provide a copy of the health monitoring report to the regulator.  </w:t>
            </w:r>
          </w:p>
        </w:tc>
        <w:tc>
          <w:tcPr>
            <w:tcW w:w="2962" w:type="dxa"/>
          </w:tcPr>
          <w:p w14:paraId="0962392A" w14:textId="77777777" w:rsidR="00414A96" w:rsidRDefault="00414A96" w:rsidP="00414A96">
            <w:pPr>
              <w:pStyle w:val="NoSpacing"/>
              <w:jc w:val="left"/>
              <w:rPr>
                <w:rFonts w:eastAsia="Times New Roman" w:cs="Arial"/>
                <w:color w:val="000000"/>
                <w:sz w:val="20"/>
                <w:szCs w:val="20"/>
                <w:lang w:eastAsia="en-AU"/>
              </w:rPr>
            </w:pPr>
            <w:r w:rsidRPr="00C56304">
              <w:rPr>
                <w:rFonts w:eastAsia="Times New Roman" w:cs="Arial"/>
                <w:color w:val="000000"/>
                <w:sz w:val="20"/>
                <w:szCs w:val="20"/>
                <w:lang w:eastAsia="en-AU"/>
              </w:rPr>
              <w:t xml:space="preserve">R. 5.24 </w:t>
            </w:r>
            <w:r w:rsidRPr="00C56304">
              <w:rPr>
                <w:rFonts w:eastAsia="Times New Roman" w:cs="Arial"/>
                <w:sz w:val="20"/>
                <w:szCs w:val="20"/>
                <w:lang w:eastAsia="en-AU"/>
              </w:rPr>
              <w:t xml:space="preserve">places the duty to provide the health monitoring report to the regulator, on the medical practitioner </w:t>
            </w:r>
            <w:r w:rsidRPr="00C56304">
              <w:rPr>
                <w:rFonts w:eastAsia="Times New Roman" w:cs="Arial"/>
                <w:color w:val="000000"/>
                <w:sz w:val="20"/>
                <w:szCs w:val="20"/>
                <w:lang w:eastAsia="en-AU"/>
              </w:rPr>
              <w:t>who prepared it if the results indicate exposure.</w:t>
            </w:r>
          </w:p>
          <w:p w14:paraId="72B28B7C" w14:textId="318F0C51" w:rsidR="001621AC" w:rsidRPr="00C56304" w:rsidRDefault="001621AC" w:rsidP="00414A96">
            <w:pPr>
              <w:pStyle w:val="NoSpacing"/>
              <w:jc w:val="left"/>
              <w:rPr>
                <w:rFonts w:eastAsia="Times New Roman" w:cs="Arial"/>
                <w:sz w:val="20"/>
                <w:szCs w:val="20"/>
                <w:lang w:eastAsia="en-AU"/>
              </w:rPr>
            </w:pPr>
            <w:r w:rsidRPr="001621AC">
              <w:rPr>
                <w:rFonts w:eastAsia="Times New Roman" w:cs="Arial"/>
                <w:color w:val="000000"/>
                <w:sz w:val="20"/>
                <w:szCs w:val="20"/>
                <w:lang w:eastAsia="en-AU"/>
              </w:rPr>
              <w:t>The Commission has endorsed consideration of the WHS regulations for Western Australia being amended to be consistent with the OSH regulations.</w:t>
            </w:r>
            <w:r>
              <w:rPr>
                <w:rFonts w:cs="Arial"/>
                <w:szCs w:val="24"/>
                <w:lang w:eastAsia="en-AU"/>
              </w:rPr>
              <w:t xml:space="preserve">  </w:t>
            </w:r>
          </w:p>
        </w:tc>
      </w:tr>
      <w:tr w:rsidR="00414A96" w:rsidRPr="00C56304" w14:paraId="72B28B82" w14:textId="77777777" w:rsidTr="00681605">
        <w:trPr>
          <w:tblHeader/>
        </w:trPr>
        <w:tc>
          <w:tcPr>
            <w:tcW w:w="2962" w:type="dxa"/>
          </w:tcPr>
          <w:p w14:paraId="72B28B7E" w14:textId="77777777" w:rsidR="00414A96" w:rsidRPr="00C56304" w:rsidRDefault="00414A96" w:rsidP="004160FC">
            <w:pPr>
              <w:pStyle w:val="Heading2"/>
              <w:numPr>
                <w:ilvl w:val="0"/>
                <w:numId w:val="37"/>
              </w:numPr>
              <w:ind w:left="455"/>
              <w:outlineLvl w:val="1"/>
              <w:rPr>
                <w:sz w:val="20"/>
                <w:szCs w:val="20"/>
              </w:rPr>
            </w:pPr>
            <w:bookmarkStart w:id="239" w:name="_Toc4661892"/>
            <w:bookmarkStart w:id="240" w:name="_Toc17104672"/>
            <w:r w:rsidRPr="00C56304">
              <w:rPr>
                <w:sz w:val="20"/>
                <w:szCs w:val="20"/>
              </w:rPr>
              <w:t>Duty to give health monitoring report to relevant persons conducting businesses or undertakings</w:t>
            </w:r>
            <w:bookmarkEnd w:id="239"/>
            <w:bookmarkEnd w:id="240"/>
          </w:p>
          <w:p w14:paraId="72B28B7F" w14:textId="77777777" w:rsidR="00414A96" w:rsidRPr="00C56304" w:rsidRDefault="00414A96" w:rsidP="004160FC">
            <w:pPr>
              <w:pStyle w:val="Heading2"/>
              <w:ind w:left="455"/>
              <w:outlineLvl w:val="1"/>
              <w:rPr>
                <w:sz w:val="20"/>
                <w:szCs w:val="20"/>
              </w:rPr>
            </w:pPr>
          </w:p>
        </w:tc>
        <w:tc>
          <w:tcPr>
            <w:tcW w:w="3365" w:type="dxa"/>
          </w:tcPr>
          <w:p w14:paraId="72B28B80" w14:textId="77777777" w:rsidR="00414A96" w:rsidRPr="00C56304" w:rsidRDefault="00414A96" w:rsidP="00414A96">
            <w:pPr>
              <w:pStyle w:val="NoSpacing"/>
              <w:jc w:val="left"/>
              <w:rPr>
                <w:rFonts w:cs="Arial"/>
                <w:sz w:val="20"/>
                <w:szCs w:val="20"/>
              </w:rPr>
            </w:pPr>
            <w:r w:rsidRPr="00C56304">
              <w:rPr>
                <w:rFonts w:cs="Arial"/>
                <w:sz w:val="20"/>
                <w:szCs w:val="20"/>
                <w:lang w:eastAsia="en-AU"/>
              </w:rPr>
              <w:t xml:space="preserve">R. 377 permits the PCBU to provide the </w:t>
            </w:r>
            <w:r w:rsidRPr="00C56304">
              <w:rPr>
                <w:rFonts w:cs="Arial"/>
                <w:sz w:val="20"/>
                <w:szCs w:val="20"/>
              </w:rPr>
              <w:t xml:space="preserve">health monitoring </w:t>
            </w:r>
            <w:r w:rsidRPr="00C56304">
              <w:rPr>
                <w:rFonts w:cs="Arial"/>
                <w:sz w:val="20"/>
                <w:szCs w:val="20"/>
                <w:lang w:eastAsia="en-AU"/>
              </w:rPr>
              <w:t>report to others at a workplace that may have a corresponding duty.</w:t>
            </w:r>
          </w:p>
        </w:tc>
        <w:tc>
          <w:tcPr>
            <w:tcW w:w="2962" w:type="dxa"/>
          </w:tcPr>
          <w:p w14:paraId="72B28B81" w14:textId="77777777" w:rsidR="00414A96" w:rsidRPr="00C56304" w:rsidRDefault="00414A96" w:rsidP="00414A96">
            <w:pPr>
              <w:pStyle w:val="NoSpacing"/>
              <w:jc w:val="left"/>
              <w:rPr>
                <w:rFonts w:eastAsia="Times New Roman" w:cs="Arial"/>
                <w:color w:val="000000"/>
                <w:sz w:val="20"/>
                <w:szCs w:val="20"/>
                <w:lang w:eastAsia="en-AU"/>
              </w:rPr>
            </w:pPr>
            <w:r w:rsidRPr="00C56304">
              <w:rPr>
                <w:rFonts w:cs="Arial"/>
                <w:sz w:val="20"/>
                <w:szCs w:val="20"/>
                <w:lang w:eastAsia="en-AU"/>
              </w:rPr>
              <w:t>R. 5.23(4) requires information from health monitoring to be kept confidential.</w:t>
            </w:r>
          </w:p>
        </w:tc>
      </w:tr>
      <w:tr w:rsidR="00414A96" w:rsidRPr="00C56304" w14:paraId="72B28B87" w14:textId="77777777" w:rsidTr="00681605">
        <w:trPr>
          <w:tblHeader/>
        </w:trPr>
        <w:tc>
          <w:tcPr>
            <w:tcW w:w="2962" w:type="dxa"/>
          </w:tcPr>
          <w:p w14:paraId="72B28B83" w14:textId="77777777" w:rsidR="00414A96" w:rsidRPr="00C56304" w:rsidRDefault="00414A96" w:rsidP="004160FC">
            <w:pPr>
              <w:pStyle w:val="Heading2"/>
              <w:numPr>
                <w:ilvl w:val="0"/>
                <w:numId w:val="37"/>
              </w:numPr>
              <w:ind w:left="455"/>
              <w:outlineLvl w:val="1"/>
              <w:rPr>
                <w:sz w:val="20"/>
                <w:szCs w:val="20"/>
              </w:rPr>
            </w:pPr>
            <w:bookmarkStart w:id="241" w:name="_Toc4661893"/>
            <w:bookmarkStart w:id="242" w:name="_Toc17104673"/>
            <w:r w:rsidRPr="00C56304">
              <w:rPr>
                <w:sz w:val="20"/>
                <w:szCs w:val="20"/>
              </w:rPr>
              <w:lastRenderedPageBreak/>
              <w:t>Using, handling and storing restricted hazardous chemicals.</w:t>
            </w:r>
            <w:bookmarkEnd w:id="241"/>
            <w:bookmarkEnd w:id="242"/>
          </w:p>
          <w:p w14:paraId="72B28B84" w14:textId="77777777" w:rsidR="00414A96" w:rsidRPr="00C56304" w:rsidRDefault="00414A96" w:rsidP="004160FC">
            <w:pPr>
              <w:pStyle w:val="Heading2"/>
              <w:ind w:left="455"/>
              <w:outlineLvl w:val="1"/>
              <w:rPr>
                <w:sz w:val="20"/>
                <w:szCs w:val="20"/>
              </w:rPr>
            </w:pPr>
          </w:p>
        </w:tc>
        <w:tc>
          <w:tcPr>
            <w:tcW w:w="3365" w:type="dxa"/>
          </w:tcPr>
          <w:p w14:paraId="72B28B85" w14:textId="77777777" w:rsidR="00414A96" w:rsidRPr="00C56304" w:rsidRDefault="00414A96" w:rsidP="00414A96">
            <w:pPr>
              <w:pStyle w:val="NoSpacing"/>
              <w:jc w:val="left"/>
              <w:rPr>
                <w:rFonts w:cs="Arial"/>
                <w:sz w:val="20"/>
                <w:szCs w:val="20"/>
                <w:lang w:eastAsia="en-AU"/>
              </w:rPr>
            </w:pPr>
            <w:r w:rsidRPr="00C56304">
              <w:rPr>
                <w:rFonts w:cs="Arial"/>
                <w:sz w:val="20"/>
                <w:szCs w:val="20"/>
              </w:rPr>
              <w:t xml:space="preserve">Under r. 382 and Schedule 10, Table 10.3, silica is classified as a “restricted hazardous chemical”. Its use, in relation to abrasive blasting, is restricted to a concentration of </w:t>
            </w:r>
            <w:r w:rsidRPr="00C56304">
              <w:rPr>
                <w:rFonts w:cs="Arial"/>
                <w:bCs/>
                <w:iCs/>
                <w:sz w:val="20"/>
                <w:szCs w:val="20"/>
              </w:rPr>
              <w:t xml:space="preserve">less than 1.0%.  </w:t>
            </w:r>
          </w:p>
        </w:tc>
        <w:tc>
          <w:tcPr>
            <w:tcW w:w="2962" w:type="dxa"/>
          </w:tcPr>
          <w:p w14:paraId="72B28B86" w14:textId="77777777" w:rsidR="00414A96" w:rsidRPr="00C56304" w:rsidRDefault="00414A96" w:rsidP="00414A96">
            <w:pPr>
              <w:pStyle w:val="NoSpacing"/>
              <w:jc w:val="left"/>
              <w:rPr>
                <w:rFonts w:cs="Arial"/>
                <w:sz w:val="20"/>
                <w:szCs w:val="20"/>
                <w:lang w:eastAsia="en-AU"/>
              </w:rPr>
            </w:pPr>
            <w:r w:rsidRPr="00C56304">
              <w:rPr>
                <w:rFonts w:cs="Arial"/>
                <w:bCs/>
                <w:iCs/>
                <w:sz w:val="20"/>
                <w:szCs w:val="20"/>
              </w:rPr>
              <w:t>C</w:t>
            </w:r>
            <w:r w:rsidRPr="00C56304">
              <w:rPr>
                <w:rFonts w:cs="Arial"/>
                <w:sz w:val="20"/>
                <w:szCs w:val="20"/>
              </w:rPr>
              <w:t xml:space="preserve">rystalline silica is prescribed as a “hazardous substance prohibited for specified uses or methods of handling” under r. 5.14 and Schedule 5.2. In particular, a substance that contains crystalline silicon dioxide is prohibited for use as an abrasive material in abrasive blasting except where </w:t>
            </w:r>
            <w:r w:rsidRPr="00C56304">
              <w:rPr>
                <w:rFonts w:cs="Arial"/>
                <w:bCs/>
                <w:iCs/>
                <w:sz w:val="20"/>
                <w:szCs w:val="20"/>
              </w:rPr>
              <w:t xml:space="preserve">less than 2% </w:t>
            </w:r>
            <w:r w:rsidRPr="00C56304">
              <w:rPr>
                <w:rFonts w:cs="Arial"/>
                <w:sz w:val="20"/>
                <w:szCs w:val="20"/>
              </w:rPr>
              <w:t>dry weight of crystalline silicon dioxide is present as a contaminant.</w:t>
            </w:r>
          </w:p>
        </w:tc>
      </w:tr>
      <w:tr w:rsidR="00414A96" w:rsidRPr="00C56304" w14:paraId="72B28B8C" w14:textId="77777777" w:rsidTr="00681605">
        <w:trPr>
          <w:tblHeader/>
        </w:trPr>
        <w:tc>
          <w:tcPr>
            <w:tcW w:w="2962" w:type="dxa"/>
          </w:tcPr>
          <w:p w14:paraId="72B28B88" w14:textId="77777777" w:rsidR="00414A96" w:rsidRPr="004160FC" w:rsidRDefault="00414A96" w:rsidP="004160FC">
            <w:pPr>
              <w:pStyle w:val="Heading2"/>
              <w:numPr>
                <w:ilvl w:val="0"/>
                <w:numId w:val="37"/>
              </w:numPr>
              <w:ind w:left="455"/>
              <w:outlineLvl w:val="1"/>
              <w:rPr>
                <w:sz w:val="20"/>
                <w:szCs w:val="20"/>
              </w:rPr>
            </w:pPr>
            <w:bookmarkStart w:id="243" w:name="_Toc4661894"/>
            <w:bookmarkStart w:id="244" w:name="_Toc17104674"/>
            <w:r w:rsidRPr="004160FC">
              <w:rPr>
                <w:sz w:val="20"/>
                <w:szCs w:val="20"/>
              </w:rPr>
              <w:t xml:space="preserve">Risk assessment </w:t>
            </w:r>
            <w:r w:rsidRPr="00C56304">
              <w:rPr>
                <w:sz w:val="20"/>
                <w:szCs w:val="20"/>
              </w:rPr>
              <w:t>for hazardous substances report</w:t>
            </w:r>
            <w:bookmarkEnd w:id="243"/>
            <w:bookmarkEnd w:id="244"/>
            <w:r w:rsidRPr="00C56304">
              <w:rPr>
                <w:sz w:val="20"/>
                <w:szCs w:val="20"/>
              </w:rPr>
              <w:t xml:space="preserve">  </w:t>
            </w:r>
          </w:p>
          <w:p w14:paraId="72B28B89" w14:textId="77777777" w:rsidR="00414A96" w:rsidRPr="00C56304" w:rsidRDefault="00414A96" w:rsidP="004160FC">
            <w:pPr>
              <w:pStyle w:val="Heading2"/>
              <w:ind w:left="455"/>
              <w:outlineLvl w:val="1"/>
              <w:rPr>
                <w:sz w:val="20"/>
                <w:szCs w:val="20"/>
              </w:rPr>
            </w:pPr>
          </w:p>
        </w:tc>
        <w:tc>
          <w:tcPr>
            <w:tcW w:w="3365" w:type="dxa"/>
          </w:tcPr>
          <w:p w14:paraId="72B28B8A" w14:textId="77777777" w:rsidR="00414A96" w:rsidRPr="00C56304" w:rsidRDefault="00414A96" w:rsidP="00414A96">
            <w:pPr>
              <w:pStyle w:val="NoSpacing"/>
              <w:jc w:val="left"/>
              <w:rPr>
                <w:rFonts w:cs="Arial"/>
                <w:sz w:val="20"/>
                <w:szCs w:val="20"/>
              </w:rPr>
            </w:pPr>
            <w:r w:rsidRPr="00C56304">
              <w:rPr>
                <w:rFonts w:cs="Arial"/>
                <w:sz w:val="20"/>
                <w:szCs w:val="20"/>
              </w:rPr>
              <w:t xml:space="preserve">No equivalent.  </w:t>
            </w:r>
          </w:p>
        </w:tc>
        <w:tc>
          <w:tcPr>
            <w:tcW w:w="2962" w:type="dxa"/>
          </w:tcPr>
          <w:p w14:paraId="72B28B8B" w14:textId="77777777" w:rsidR="00414A96" w:rsidRPr="00C56304" w:rsidRDefault="00414A96" w:rsidP="00414A96">
            <w:pPr>
              <w:pStyle w:val="NoSpacing"/>
              <w:jc w:val="left"/>
              <w:rPr>
                <w:rFonts w:cs="Arial"/>
                <w:bCs/>
                <w:iCs/>
                <w:sz w:val="20"/>
                <w:szCs w:val="20"/>
              </w:rPr>
            </w:pPr>
            <w:r w:rsidRPr="00C56304">
              <w:rPr>
                <w:rFonts w:cs="Arial"/>
                <w:sz w:val="20"/>
                <w:szCs w:val="20"/>
              </w:rPr>
              <w:t xml:space="preserve">R. 5.15 and r. 5.16 require that the employer, main contractor and self-employed person </w:t>
            </w:r>
            <w:r w:rsidRPr="00C56304">
              <w:rPr>
                <w:rFonts w:cs="Arial"/>
                <w:bCs/>
                <w:iCs/>
                <w:sz w:val="20"/>
                <w:szCs w:val="20"/>
              </w:rPr>
              <w:t xml:space="preserve">must conduct a risk assessment </w:t>
            </w:r>
            <w:r w:rsidRPr="00C56304">
              <w:rPr>
                <w:rFonts w:cs="Arial"/>
                <w:sz w:val="20"/>
                <w:szCs w:val="20"/>
              </w:rPr>
              <w:t xml:space="preserve">and assess the risk of injury or harm to a person as a result of a person being exposed to “hazardous substances”.  If this process identifies a significant risk, then </w:t>
            </w:r>
            <w:r w:rsidRPr="00C56304">
              <w:rPr>
                <w:rFonts w:cs="Arial"/>
                <w:bCs/>
                <w:iCs/>
                <w:sz w:val="20"/>
                <w:szCs w:val="20"/>
              </w:rPr>
              <w:t xml:space="preserve">a report must be prepared on the assessment </w:t>
            </w:r>
            <w:r w:rsidRPr="00C56304">
              <w:rPr>
                <w:rFonts w:cs="Arial"/>
                <w:sz w:val="20"/>
                <w:szCs w:val="20"/>
              </w:rPr>
              <w:t xml:space="preserve">and the action to be taken to comply with relevant regulations. This report must be kept in a register at the workplace.  </w:t>
            </w:r>
          </w:p>
        </w:tc>
      </w:tr>
      <w:tr w:rsidR="00414A96" w:rsidRPr="00C56304" w14:paraId="72B28B91" w14:textId="77777777" w:rsidTr="00681605">
        <w:trPr>
          <w:tblHeader/>
        </w:trPr>
        <w:tc>
          <w:tcPr>
            <w:tcW w:w="2962" w:type="dxa"/>
          </w:tcPr>
          <w:p w14:paraId="72B28B8D" w14:textId="77777777" w:rsidR="00414A96" w:rsidRPr="00C56304" w:rsidRDefault="00414A96" w:rsidP="004160FC">
            <w:pPr>
              <w:pStyle w:val="Heading2"/>
              <w:numPr>
                <w:ilvl w:val="0"/>
                <w:numId w:val="37"/>
              </w:numPr>
              <w:ind w:left="455"/>
              <w:outlineLvl w:val="1"/>
              <w:rPr>
                <w:sz w:val="20"/>
                <w:szCs w:val="20"/>
              </w:rPr>
            </w:pPr>
            <w:bookmarkStart w:id="245" w:name="_Toc4661895"/>
            <w:bookmarkStart w:id="246" w:name="_Toc17104675"/>
            <w:r w:rsidRPr="00C56304">
              <w:rPr>
                <w:sz w:val="20"/>
                <w:szCs w:val="20"/>
              </w:rPr>
              <w:t>Notification of lead risk work</w:t>
            </w:r>
            <w:bookmarkEnd w:id="245"/>
            <w:bookmarkEnd w:id="246"/>
          </w:p>
          <w:p w14:paraId="72B28B8E" w14:textId="77777777" w:rsidR="00414A96" w:rsidRPr="00C56304" w:rsidRDefault="00414A96" w:rsidP="004160FC">
            <w:pPr>
              <w:pStyle w:val="Heading1"/>
              <w:ind w:left="455"/>
              <w:outlineLvl w:val="0"/>
              <w:rPr>
                <w:sz w:val="20"/>
                <w:szCs w:val="20"/>
              </w:rPr>
            </w:pPr>
          </w:p>
        </w:tc>
        <w:tc>
          <w:tcPr>
            <w:tcW w:w="3365" w:type="dxa"/>
          </w:tcPr>
          <w:p w14:paraId="72B28B8F" w14:textId="77777777" w:rsidR="00414A96" w:rsidRPr="00C56304" w:rsidRDefault="00414A96" w:rsidP="00414A96">
            <w:pPr>
              <w:pStyle w:val="NoSpacing"/>
              <w:jc w:val="left"/>
              <w:rPr>
                <w:rFonts w:cs="Arial"/>
                <w:sz w:val="20"/>
                <w:szCs w:val="20"/>
              </w:rPr>
            </w:pPr>
            <w:r w:rsidRPr="00C56304">
              <w:rPr>
                <w:rFonts w:cs="Arial"/>
                <w:sz w:val="20"/>
                <w:szCs w:val="20"/>
              </w:rPr>
              <w:t xml:space="preserve">R. 403 introduces a new requirement for a person in control of a business or undertaking to </w:t>
            </w:r>
            <w:r w:rsidRPr="00C56304">
              <w:rPr>
                <w:rFonts w:cs="Arial"/>
                <w:b/>
                <w:bCs/>
                <w:i/>
                <w:iCs/>
                <w:sz w:val="20"/>
                <w:szCs w:val="20"/>
              </w:rPr>
              <w:t>notify the regulator within seven days</w:t>
            </w:r>
            <w:r w:rsidRPr="00C56304">
              <w:rPr>
                <w:rFonts w:cs="Arial"/>
                <w:sz w:val="20"/>
                <w:szCs w:val="20"/>
              </w:rPr>
              <w:t xml:space="preserve">, where they have determined that work is “lead risk work”.  </w:t>
            </w:r>
          </w:p>
        </w:tc>
        <w:tc>
          <w:tcPr>
            <w:tcW w:w="2962" w:type="dxa"/>
          </w:tcPr>
          <w:p w14:paraId="72B28B90" w14:textId="53931377" w:rsidR="00414A96" w:rsidRPr="00C56304" w:rsidRDefault="00414A96" w:rsidP="00414A96">
            <w:pPr>
              <w:pStyle w:val="NoSpacing"/>
              <w:jc w:val="left"/>
              <w:rPr>
                <w:rFonts w:cs="Arial"/>
                <w:sz w:val="20"/>
                <w:szCs w:val="20"/>
              </w:rPr>
            </w:pPr>
            <w:r w:rsidRPr="00C56304">
              <w:rPr>
                <w:rFonts w:cs="Arial"/>
                <w:sz w:val="20"/>
                <w:szCs w:val="20"/>
              </w:rPr>
              <w:t>No equivalent</w:t>
            </w:r>
            <w:r w:rsidR="00B55E73">
              <w:rPr>
                <w:rFonts w:cs="Arial"/>
                <w:sz w:val="20"/>
                <w:szCs w:val="20"/>
              </w:rPr>
              <w:t>.</w:t>
            </w:r>
          </w:p>
        </w:tc>
      </w:tr>
      <w:tr w:rsidR="00414A96" w:rsidRPr="002E7F3D" w14:paraId="72B28B93" w14:textId="77777777" w:rsidTr="00681605">
        <w:trPr>
          <w:trHeight w:val="413"/>
          <w:tblHeader/>
        </w:trPr>
        <w:tc>
          <w:tcPr>
            <w:tcW w:w="9289" w:type="dxa"/>
            <w:gridSpan w:val="3"/>
            <w:shd w:val="clear" w:color="auto" w:fill="006B6E"/>
            <w:vAlign w:val="center"/>
          </w:tcPr>
          <w:p w14:paraId="72B28B92" w14:textId="77777777" w:rsidR="00414A96" w:rsidRPr="0036454B" w:rsidRDefault="00414A96" w:rsidP="00414A96">
            <w:pPr>
              <w:pStyle w:val="Heading1"/>
              <w:spacing w:before="100" w:beforeAutospacing="1" w:after="100" w:afterAutospacing="1"/>
              <w:outlineLvl w:val="0"/>
              <w:rPr>
                <w:color w:val="FFFFFF" w:themeColor="background1"/>
                <w:sz w:val="20"/>
                <w:szCs w:val="20"/>
              </w:rPr>
            </w:pPr>
            <w:bookmarkStart w:id="247" w:name="_Toc4661896"/>
            <w:bookmarkStart w:id="248" w:name="_Toc17104676"/>
            <w:r w:rsidRPr="002E7F3D">
              <w:rPr>
                <w:color w:val="FFFFFF" w:themeColor="background1"/>
                <w:sz w:val="20"/>
                <w:szCs w:val="20"/>
              </w:rPr>
              <w:t>Chapter Eight – Asbestos</w:t>
            </w:r>
            <w:bookmarkEnd w:id="247"/>
            <w:bookmarkEnd w:id="248"/>
          </w:p>
        </w:tc>
      </w:tr>
      <w:tr w:rsidR="00414A96" w:rsidRPr="00C56304" w14:paraId="72B28B98" w14:textId="77777777" w:rsidTr="00681605">
        <w:trPr>
          <w:tblHeader/>
        </w:trPr>
        <w:tc>
          <w:tcPr>
            <w:tcW w:w="2962" w:type="dxa"/>
          </w:tcPr>
          <w:p w14:paraId="72B28B94" w14:textId="77777777" w:rsidR="00414A96" w:rsidRPr="00C56304" w:rsidRDefault="00414A96" w:rsidP="00EE7C25">
            <w:pPr>
              <w:pStyle w:val="Heading2"/>
              <w:numPr>
                <w:ilvl w:val="0"/>
                <w:numId w:val="37"/>
              </w:numPr>
              <w:ind w:left="455"/>
              <w:outlineLvl w:val="1"/>
              <w:rPr>
                <w:sz w:val="20"/>
                <w:szCs w:val="20"/>
              </w:rPr>
            </w:pPr>
            <w:bookmarkStart w:id="249" w:name="_Toc4661897"/>
            <w:bookmarkStart w:id="250" w:name="_Toc17104677"/>
            <w:r w:rsidRPr="00C56304">
              <w:rPr>
                <w:sz w:val="20"/>
                <w:szCs w:val="20"/>
              </w:rPr>
              <w:t>Work involving asbestos or ACM – prohibitions and exceptions</w:t>
            </w:r>
            <w:bookmarkEnd w:id="249"/>
            <w:bookmarkEnd w:id="250"/>
          </w:p>
          <w:p w14:paraId="72B28B95" w14:textId="77777777" w:rsidR="00414A96" w:rsidRPr="00C56304" w:rsidRDefault="00414A96" w:rsidP="00EE7C25">
            <w:pPr>
              <w:pStyle w:val="Heading2"/>
              <w:ind w:left="455"/>
              <w:outlineLvl w:val="1"/>
              <w:rPr>
                <w:bCs w:val="0"/>
                <w:iCs/>
                <w:sz w:val="20"/>
                <w:szCs w:val="20"/>
              </w:rPr>
            </w:pPr>
          </w:p>
        </w:tc>
        <w:tc>
          <w:tcPr>
            <w:tcW w:w="3365" w:type="dxa"/>
          </w:tcPr>
          <w:p w14:paraId="72B28B96" w14:textId="77777777" w:rsidR="00414A96" w:rsidRPr="00C56304" w:rsidRDefault="00414A96" w:rsidP="00414A96">
            <w:pPr>
              <w:pStyle w:val="NoSpacing"/>
              <w:jc w:val="left"/>
              <w:rPr>
                <w:rFonts w:cs="Arial"/>
                <w:sz w:val="20"/>
                <w:szCs w:val="20"/>
              </w:rPr>
            </w:pPr>
            <w:r w:rsidRPr="00C56304">
              <w:rPr>
                <w:rFonts w:cs="Arial"/>
                <w:sz w:val="20"/>
                <w:szCs w:val="20"/>
              </w:rPr>
              <w:t xml:space="preserve">R. 419(3)(e) provides for the relevant legislation in relation to the transport of asbestos.  Consistent with the accompanying jurisdictional note, the </w:t>
            </w:r>
            <w:r w:rsidRPr="00C56304">
              <w:rPr>
                <w:rFonts w:cs="Arial"/>
                <w:bCs/>
                <w:i/>
                <w:sz w:val="20"/>
                <w:szCs w:val="20"/>
              </w:rPr>
              <w:t>Environmental Protection Act 1986</w:t>
            </w:r>
            <w:r w:rsidRPr="00C56304">
              <w:rPr>
                <w:rFonts w:cs="Arial"/>
                <w:sz w:val="20"/>
                <w:szCs w:val="20"/>
              </w:rPr>
              <w:t xml:space="preserve"> will be specified.  The </w:t>
            </w:r>
            <w:r w:rsidRPr="00C56304">
              <w:rPr>
                <w:rFonts w:cs="Arial"/>
                <w:bCs/>
                <w:i/>
                <w:sz w:val="20"/>
                <w:szCs w:val="20"/>
              </w:rPr>
              <w:t>Environmental Protection Act 1986</w:t>
            </w:r>
            <w:r w:rsidRPr="00C56304">
              <w:rPr>
                <w:rFonts w:cs="Arial"/>
                <w:bCs/>
                <w:sz w:val="20"/>
                <w:szCs w:val="20"/>
              </w:rPr>
              <w:t xml:space="preserve"> will also be inserted into r. 492(2)(f) and r. 500(1)(b).</w:t>
            </w:r>
          </w:p>
        </w:tc>
        <w:tc>
          <w:tcPr>
            <w:tcW w:w="2962" w:type="dxa"/>
          </w:tcPr>
          <w:p w14:paraId="72B28B97" w14:textId="2635A5B9" w:rsidR="00414A96" w:rsidRPr="00C56304" w:rsidRDefault="00414A96" w:rsidP="00414A96">
            <w:pPr>
              <w:pStyle w:val="NoSpacing"/>
              <w:jc w:val="left"/>
              <w:rPr>
                <w:rFonts w:cs="Arial"/>
                <w:sz w:val="20"/>
                <w:szCs w:val="20"/>
              </w:rPr>
            </w:pPr>
            <w:r w:rsidRPr="00C56304">
              <w:rPr>
                <w:rFonts w:cs="Arial"/>
                <w:sz w:val="20"/>
                <w:szCs w:val="20"/>
              </w:rPr>
              <w:t>No equivalent</w:t>
            </w:r>
            <w:r w:rsidR="00B55E73">
              <w:rPr>
                <w:rFonts w:cs="Arial"/>
                <w:sz w:val="20"/>
                <w:szCs w:val="20"/>
              </w:rPr>
              <w:t>.</w:t>
            </w:r>
          </w:p>
        </w:tc>
      </w:tr>
      <w:tr w:rsidR="00414A96" w:rsidRPr="00C56304" w14:paraId="72B28B9D" w14:textId="77777777" w:rsidTr="00681605">
        <w:trPr>
          <w:tblHeader/>
        </w:trPr>
        <w:tc>
          <w:tcPr>
            <w:tcW w:w="2962" w:type="dxa"/>
          </w:tcPr>
          <w:p w14:paraId="72B28B99" w14:textId="77777777" w:rsidR="00414A96" w:rsidRPr="00C56304" w:rsidRDefault="00414A96" w:rsidP="00EE7C25">
            <w:pPr>
              <w:pStyle w:val="Heading2"/>
              <w:numPr>
                <w:ilvl w:val="0"/>
                <w:numId w:val="37"/>
              </w:numPr>
              <w:ind w:left="455"/>
              <w:outlineLvl w:val="1"/>
              <w:rPr>
                <w:sz w:val="20"/>
                <w:szCs w:val="20"/>
              </w:rPr>
            </w:pPr>
            <w:bookmarkStart w:id="251" w:name="_Toc4661898"/>
            <w:bookmarkStart w:id="252" w:name="_Toc17104678"/>
            <w:r w:rsidRPr="00C56304">
              <w:rPr>
                <w:sz w:val="20"/>
                <w:szCs w:val="20"/>
              </w:rPr>
              <w:t>Work involving asbestos or ACM – changes</w:t>
            </w:r>
            <w:bookmarkEnd w:id="251"/>
            <w:bookmarkEnd w:id="252"/>
          </w:p>
          <w:p w14:paraId="72B28B9A" w14:textId="77777777" w:rsidR="00414A96" w:rsidRPr="00C56304" w:rsidRDefault="00414A96" w:rsidP="00EE7C25">
            <w:pPr>
              <w:pStyle w:val="Heading2"/>
              <w:ind w:left="455"/>
              <w:outlineLvl w:val="1"/>
              <w:rPr>
                <w:sz w:val="20"/>
                <w:szCs w:val="20"/>
              </w:rPr>
            </w:pPr>
          </w:p>
        </w:tc>
        <w:tc>
          <w:tcPr>
            <w:tcW w:w="3365" w:type="dxa"/>
          </w:tcPr>
          <w:p w14:paraId="72B28B9B" w14:textId="77777777" w:rsidR="00414A96" w:rsidRPr="00C56304" w:rsidRDefault="00414A96" w:rsidP="00414A96">
            <w:pPr>
              <w:pStyle w:val="NoSpacing"/>
              <w:jc w:val="left"/>
              <w:rPr>
                <w:rFonts w:cs="Arial"/>
                <w:sz w:val="20"/>
                <w:szCs w:val="20"/>
              </w:rPr>
            </w:pPr>
            <w:r w:rsidRPr="00C56304">
              <w:rPr>
                <w:rFonts w:cs="Arial"/>
                <w:sz w:val="20"/>
                <w:szCs w:val="20"/>
              </w:rPr>
              <w:t xml:space="preserve">The asbestos removal licensing requirements in Part 8.7 to Part 8.10 of the model WHS regulations are more extensive and prescriptive than in the OSH regulations and there are some significant changes.  The variations between the WHS and OSH regulations identified in this </w:t>
            </w:r>
            <w:r w:rsidRPr="00C56304">
              <w:rPr>
                <w:rFonts w:cs="Arial"/>
                <w:sz w:val="20"/>
                <w:szCs w:val="20"/>
              </w:rPr>
              <w:lastRenderedPageBreak/>
              <w:t>discussion are not a comprehensive list.  Therefore if you are involved in asbestos removal work, please ensure you carefully consider the content of this Part carefully with a view to identifying matters of interest to you.</w:t>
            </w:r>
          </w:p>
        </w:tc>
        <w:tc>
          <w:tcPr>
            <w:tcW w:w="2962" w:type="dxa"/>
          </w:tcPr>
          <w:p w14:paraId="72B28B9C" w14:textId="77777777" w:rsidR="00414A96" w:rsidRPr="00C56304" w:rsidRDefault="00414A96" w:rsidP="00414A96">
            <w:pPr>
              <w:pStyle w:val="NoSpacing"/>
              <w:jc w:val="left"/>
              <w:rPr>
                <w:rFonts w:cs="Arial"/>
                <w:sz w:val="20"/>
                <w:szCs w:val="20"/>
              </w:rPr>
            </w:pPr>
          </w:p>
        </w:tc>
      </w:tr>
      <w:tr w:rsidR="00414A96" w:rsidRPr="00C56304" w14:paraId="72B28BA6" w14:textId="77777777" w:rsidTr="00681605">
        <w:trPr>
          <w:tblHeader/>
        </w:trPr>
        <w:tc>
          <w:tcPr>
            <w:tcW w:w="2962" w:type="dxa"/>
          </w:tcPr>
          <w:p w14:paraId="72B28B9E" w14:textId="77777777" w:rsidR="00414A96" w:rsidRPr="00C56304" w:rsidRDefault="00414A96" w:rsidP="00EE7C25">
            <w:pPr>
              <w:pStyle w:val="Heading2"/>
              <w:numPr>
                <w:ilvl w:val="0"/>
                <w:numId w:val="37"/>
              </w:numPr>
              <w:ind w:left="455"/>
              <w:outlineLvl w:val="1"/>
              <w:rPr>
                <w:sz w:val="20"/>
                <w:szCs w:val="20"/>
              </w:rPr>
            </w:pPr>
            <w:bookmarkStart w:id="253" w:name="_Toc4661899"/>
            <w:bookmarkStart w:id="254" w:name="_Toc17104679"/>
            <w:r w:rsidRPr="00C56304">
              <w:rPr>
                <w:sz w:val="20"/>
                <w:szCs w:val="20"/>
              </w:rPr>
              <w:t>Asbestos Removal Work</w:t>
            </w:r>
            <w:bookmarkEnd w:id="253"/>
            <w:bookmarkEnd w:id="254"/>
          </w:p>
          <w:p w14:paraId="72B28B9F" w14:textId="77777777" w:rsidR="00414A96" w:rsidRPr="00C56304" w:rsidRDefault="00414A96" w:rsidP="00EE7C25">
            <w:pPr>
              <w:pStyle w:val="Heading2"/>
              <w:ind w:left="455"/>
              <w:outlineLvl w:val="1"/>
              <w:rPr>
                <w:sz w:val="20"/>
                <w:szCs w:val="20"/>
              </w:rPr>
            </w:pPr>
          </w:p>
        </w:tc>
        <w:tc>
          <w:tcPr>
            <w:tcW w:w="3365" w:type="dxa"/>
          </w:tcPr>
          <w:p w14:paraId="72B28BA0" w14:textId="77777777" w:rsidR="00414A96" w:rsidRPr="00C56304" w:rsidRDefault="00414A96" w:rsidP="00414A96">
            <w:pPr>
              <w:pStyle w:val="NoSpacing"/>
              <w:jc w:val="left"/>
              <w:rPr>
                <w:rFonts w:cs="Arial"/>
                <w:sz w:val="20"/>
                <w:szCs w:val="20"/>
              </w:rPr>
            </w:pPr>
            <w:r w:rsidRPr="00C56304">
              <w:rPr>
                <w:rFonts w:cs="Arial"/>
                <w:sz w:val="20"/>
                <w:szCs w:val="20"/>
              </w:rPr>
              <w:t xml:space="preserve">R. 493 establishes the requirements to apply for a Class A licence for friable asbestos removal work and r. 494 establishes the requirements to apply for a Class B licence for non-friable asbestos removal work.  </w:t>
            </w:r>
          </w:p>
          <w:p w14:paraId="72B28BA1" w14:textId="77777777" w:rsidR="00414A96" w:rsidRPr="00C56304" w:rsidRDefault="00414A96" w:rsidP="00414A96">
            <w:pPr>
              <w:pStyle w:val="NoSpacing"/>
              <w:jc w:val="left"/>
              <w:rPr>
                <w:rFonts w:cs="Arial"/>
                <w:sz w:val="20"/>
                <w:szCs w:val="20"/>
              </w:rPr>
            </w:pPr>
            <w:r w:rsidRPr="00C56304">
              <w:rPr>
                <w:rFonts w:cs="Arial"/>
                <w:sz w:val="20"/>
                <w:szCs w:val="20"/>
              </w:rPr>
              <w:t xml:space="preserve">Each licence requires a </w:t>
            </w:r>
            <w:r w:rsidRPr="00C56304">
              <w:rPr>
                <w:rFonts w:cs="Arial"/>
                <w:b/>
                <w:i/>
                <w:sz w:val="20"/>
                <w:szCs w:val="20"/>
              </w:rPr>
              <w:t>specified VET course</w:t>
            </w:r>
            <w:r w:rsidRPr="00C56304">
              <w:rPr>
                <w:rFonts w:cs="Arial"/>
                <w:sz w:val="20"/>
                <w:szCs w:val="20"/>
              </w:rPr>
              <w:t xml:space="preserve"> for nominated asbestos removal supervisors (regulations 498 and 499) and for workers (regulation 460) and relevant industry experience.    </w:t>
            </w:r>
          </w:p>
          <w:p w14:paraId="72B28BA2" w14:textId="77777777" w:rsidR="00414A96" w:rsidRPr="00C56304" w:rsidRDefault="00414A96" w:rsidP="00414A96">
            <w:pPr>
              <w:pStyle w:val="NoSpacing"/>
              <w:jc w:val="left"/>
              <w:rPr>
                <w:rFonts w:cs="Arial"/>
                <w:sz w:val="20"/>
                <w:szCs w:val="20"/>
              </w:rPr>
            </w:pPr>
            <w:r w:rsidRPr="00C56304">
              <w:rPr>
                <w:rFonts w:cs="Arial"/>
                <w:sz w:val="20"/>
                <w:szCs w:val="20"/>
              </w:rPr>
              <w:t>There is also a requirement for asbestos assessors to be licensed (regulation 493).</w:t>
            </w:r>
          </w:p>
        </w:tc>
        <w:tc>
          <w:tcPr>
            <w:tcW w:w="2962" w:type="dxa"/>
          </w:tcPr>
          <w:p w14:paraId="72B28BA3" w14:textId="77777777" w:rsidR="00414A96" w:rsidRPr="00C56304" w:rsidRDefault="00414A96" w:rsidP="00414A96">
            <w:pPr>
              <w:pStyle w:val="NoSpacing"/>
              <w:jc w:val="left"/>
              <w:rPr>
                <w:rFonts w:cs="Arial"/>
                <w:sz w:val="20"/>
                <w:szCs w:val="20"/>
              </w:rPr>
            </w:pPr>
            <w:r w:rsidRPr="00C56304">
              <w:rPr>
                <w:rFonts w:cs="Arial"/>
                <w:sz w:val="20"/>
                <w:szCs w:val="20"/>
              </w:rPr>
              <w:t xml:space="preserve">Prescribes Unrestricted (r. 5.45A) and Restricted (r. 5.45B) asbestos removal licences.  </w:t>
            </w:r>
          </w:p>
          <w:p w14:paraId="72B28BA4" w14:textId="77777777" w:rsidR="00414A96" w:rsidRPr="00C56304" w:rsidRDefault="00414A96" w:rsidP="00414A96">
            <w:pPr>
              <w:pStyle w:val="NoSpacing"/>
              <w:jc w:val="left"/>
              <w:rPr>
                <w:rFonts w:cs="Arial"/>
                <w:sz w:val="20"/>
                <w:szCs w:val="20"/>
              </w:rPr>
            </w:pPr>
            <w:r w:rsidRPr="00C56304">
              <w:rPr>
                <w:rFonts w:cs="Arial"/>
                <w:sz w:val="20"/>
                <w:szCs w:val="20"/>
              </w:rPr>
              <w:t>The OSH regulations broadly require the Commissioner to be satisfied about the capabilities of the licence holder to ensure the work is done in a safe and proper manner.  This includes a requirement for appropriate training and experience.</w:t>
            </w:r>
          </w:p>
          <w:p w14:paraId="72B28BA5" w14:textId="77777777" w:rsidR="00414A96" w:rsidRPr="00C56304" w:rsidRDefault="00414A96" w:rsidP="00414A96">
            <w:pPr>
              <w:pStyle w:val="NoSpacing"/>
              <w:jc w:val="left"/>
              <w:rPr>
                <w:rFonts w:cs="Arial"/>
                <w:sz w:val="20"/>
                <w:szCs w:val="20"/>
              </w:rPr>
            </w:pPr>
            <w:r w:rsidRPr="00C56304">
              <w:rPr>
                <w:rFonts w:cs="Arial"/>
                <w:sz w:val="20"/>
                <w:szCs w:val="20"/>
              </w:rPr>
              <w:t xml:space="preserve">Licences for asbestos assessors are not required.  </w:t>
            </w:r>
          </w:p>
        </w:tc>
      </w:tr>
      <w:tr w:rsidR="00414A96" w:rsidRPr="00C56304" w14:paraId="72B28BB1" w14:textId="77777777" w:rsidTr="00681605">
        <w:trPr>
          <w:tblHeader/>
        </w:trPr>
        <w:tc>
          <w:tcPr>
            <w:tcW w:w="2962" w:type="dxa"/>
          </w:tcPr>
          <w:p w14:paraId="72B28BA7" w14:textId="77777777" w:rsidR="00414A96" w:rsidRPr="00C56304" w:rsidRDefault="00414A96" w:rsidP="00EE7C25">
            <w:pPr>
              <w:pStyle w:val="Heading2"/>
              <w:numPr>
                <w:ilvl w:val="0"/>
                <w:numId w:val="37"/>
              </w:numPr>
              <w:ind w:left="455"/>
              <w:outlineLvl w:val="1"/>
              <w:rPr>
                <w:sz w:val="20"/>
                <w:szCs w:val="20"/>
              </w:rPr>
            </w:pPr>
            <w:bookmarkStart w:id="255" w:name="_Toc4661900"/>
            <w:bookmarkStart w:id="256" w:name="_Toc17104680"/>
            <w:r w:rsidRPr="00C56304">
              <w:rPr>
                <w:sz w:val="20"/>
                <w:szCs w:val="20"/>
              </w:rPr>
              <w:t>Work involving asbestos or ACM – Training courses</w:t>
            </w:r>
            <w:bookmarkEnd w:id="255"/>
            <w:bookmarkEnd w:id="256"/>
          </w:p>
          <w:p w14:paraId="72B28BA8" w14:textId="77777777" w:rsidR="00414A96" w:rsidRPr="00C56304" w:rsidRDefault="00414A96" w:rsidP="00EE7C25">
            <w:pPr>
              <w:pStyle w:val="Heading2"/>
              <w:ind w:left="455"/>
              <w:outlineLvl w:val="1"/>
              <w:rPr>
                <w:sz w:val="20"/>
                <w:szCs w:val="20"/>
              </w:rPr>
            </w:pPr>
          </w:p>
        </w:tc>
        <w:tc>
          <w:tcPr>
            <w:tcW w:w="3365" w:type="dxa"/>
          </w:tcPr>
          <w:p w14:paraId="72B28BA9" w14:textId="77777777" w:rsidR="00414A96" w:rsidRPr="00C56304" w:rsidRDefault="00414A96" w:rsidP="00414A96">
            <w:pPr>
              <w:pStyle w:val="NoSpacing"/>
              <w:jc w:val="left"/>
              <w:rPr>
                <w:rFonts w:cs="Arial"/>
                <w:sz w:val="20"/>
                <w:szCs w:val="20"/>
              </w:rPr>
            </w:pPr>
            <w:r w:rsidRPr="00C56304">
              <w:rPr>
                <w:rFonts w:cs="Arial"/>
                <w:sz w:val="20"/>
                <w:szCs w:val="20"/>
              </w:rPr>
              <w:t xml:space="preserve">The </w:t>
            </w:r>
            <w:r w:rsidRPr="00C56304">
              <w:rPr>
                <w:rFonts w:cs="Arial"/>
                <w:b/>
                <w:sz w:val="20"/>
                <w:szCs w:val="20"/>
              </w:rPr>
              <w:t>specified VET courses</w:t>
            </w:r>
            <w:r w:rsidRPr="00C56304">
              <w:rPr>
                <w:rFonts w:cs="Arial"/>
                <w:sz w:val="20"/>
                <w:szCs w:val="20"/>
              </w:rPr>
              <w:t xml:space="preserve"> for asbestos are defined in regulation 5 of the model WHS regulations.</w:t>
            </w:r>
          </w:p>
        </w:tc>
        <w:tc>
          <w:tcPr>
            <w:tcW w:w="2962" w:type="dxa"/>
          </w:tcPr>
          <w:p w14:paraId="72B28BAA" w14:textId="77777777" w:rsidR="00414A96" w:rsidRPr="00C56304" w:rsidRDefault="00414A96" w:rsidP="00414A96">
            <w:pPr>
              <w:pStyle w:val="NoSpacing"/>
              <w:jc w:val="left"/>
              <w:rPr>
                <w:rFonts w:cs="Arial"/>
                <w:sz w:val="20"/>
                <w:szCs w:val="20"/>
              </w:rPr>
            </w:pPr>
            <w:r w:rsidRPr="00C56304">
              <w:rPr>
                <w:rFonts w:cs="Arial"/>
                <w:sz w:val="20"/>
                <w:szCs w:val="20"/>
              </w:rPr>
              <w:t xml:space="preserve">Training courses in the OSH regulations that satisfy the requirements for supervisors and workers are approved by the Commissioner and required as part of the application process.  </w:t>
            </w:r>
          </w:p>
          <w:p w14:paraId="72B28BAB" w14:textId="77777777" w:rsidR="00414A96" w:rsidRPr="00C56304" w:rsidRDefault="00414A96" w:rsidP="00414A96">
            <w:pPr>
              <w:pStyle w:val="NoSpacing"/>
              <w:jc w:val="left"/>
              <w:rPr>
                <w:rFonts w:cs="Arial"/>
                <w:sz w:val="20"/>
                <w:szCs w:val="20"/>
              </w:rPr>
            </w:pPr>
            <w:r w:rsidRPr="00C56304">
              <w:rPr>
                <w:rFonts w:cs="Arial"/>
                <w:sz w:val="20"/>
                <w:szCs w:val="20"/>
              </w:rPr>
              <w:t>The asbestos courses presently approved by the Commissioner are:</w:t>
            </w:r>
          </w:p>
          <w:p w14:paraId="72B28BAC" w14:textId="77777777" w:rsidR="00414A96" w:rsidRPr="00C56304" w:rsidRDefault="00414A96" w:rsidP="00414A96">
            <w:pPr>
              <w:spacing w:before="120" w:after="120"/>
              <w:rPr>
                <w:rFonts w:ascii="Arial" w:hAnsi="Arial" w:cs="Arial"/>
                <w:color w:val="000000"/>
                <w:sz w:val="20"/>
                <w:szCs w:val="20"/>
              </w:rPr>
            </w:pPr>
            <w:r w:rsidRPr="00C56304">
              <w:rPr>
                <w:rFonts w:ascii="Arial" w:hAnsi="Arial" w:cs="Arial"/>
                <w:color w:val="000000"/>
                <w:sz w:val="20"/>
                <w:szCs w:val="20"/>
              </w:rPr>
              <w:t>Restricted Asbestos:</w:t>
            </w:r>
          </w:p>
          <w:p w14:paraId="72B28BAD" w14:textId="77777777" w:rsidR="00414A96" w:rsidRPr="00C56304" w:rsidRDefault="00414A96" w:rsidP="00414A96">
            <w:pPr>
              <w:pStyle w:val="ListParagraph"/>
              <w:numPr>
                <w:ilvl w:val="0"/>
                <w:numId w:val="31"/>
              </w:numPr>
              <w:spacing w:before="120" w:after="120"/>
              <w:rPr>
                <w:rFonts w:ascii="Arial" w:hAnsi="Arial" w:cs="Arial"/>
                <w:color w:val="000000"/>
                <w:sz w:val="20"/>
                <w:szCs w:val="20"/>
              </w:rPr>
            </w:pPr>
            <w:r w:rsidRPr="00C56304">
              <w:rPr>
                <w:rFonts w:ascii="Arial" w:hAnsi="Arial" w:cs="Arial"/>
                <w:color w:val="000000"/>
                <w:sz w:val="20"/>
                <w:szCs w:val="20"/>
              </w:rPr>
              <w:t xml:space="preserve">RAL001 – Restricted Asbestos Licence; or </w:t>
            </w:r>
          </w:p>
          <w:p w14:paraId="72B28BAE" w14:textId="77777777" w:rsidR="00414A96" w:rsidRPr="00C56304" w:rsidRDefault="00414A96" w:rsidP="00414A96">
            <w:pPr>
              <w:pStyle w:val="ListParagraph"/>
              <w:numPr>
                <w:ilvl w:val="0"/>
                <w:numId w:val="31"/>
              </w:numPr>
              <w:spacing w:before="120" w:after="120"/>
              <w:rPr>
                <w:rFonts w:ascii="Arial" w:hAnsi="Arial" w:cs="Arial"/>
                <w:color w:val="000000"/>
                <w:sz w:val="20"/>
                <w:szCs w:val="20"/>
              </w:rPr>
            </w:pPr>
            <w:r w:rsidRPr="00C56304">
              <w:rPr>
                <w:rFonts w:ascii="Arial" w:hAnsi="Arial" w:cs="Arial"/>
                <w:color w:val="000000"/>
                <w:sz w:val="20"/>
                <w:szCs w:val="20"/>
              </w:rPr>
              <w:t>CPCCBC4051A m- Supervise Asbestos Removal</w:t>
            </w:r>
          </w:p>
          <w:p w14:paraId="72B28BAF" w14:textId="77777777" w:rsidR="00414A96" w:rsidRPr="00C56304" w:rsidRDefault="00414A96" w:rsidP="00414A96">
            <w:pPr>
              <w:pStyle w:val="NoSpacing"/>
              <w:jc w:val="left"/>
              <w:rPr>
                <w:rFonts w:cs="Arial"/>
                <w:color w:val="000000"/>
                <w:sz w:val="20"/>
                <w:szCs w:val="20"/>
              </w:rPr>
            </w:pPr>
            <w:r w:rsidRPr="00C56304">
              <w:rPr>
                <w:rFonts w:cs="Arial"/>
                <w:color w:val="000000"/>
                <w:sz w:val="20"/>
                <w:szCs w:val="20"/>
              </w:rPr>
              <w:t>Unrestricted Asbestos:</w:t>
            </w:r>
          </w:p>
          <w:p w14:paraId="72B28BB0" w14:textId="77777777" w:rsidR="00414A96" w:rsidRPr="00C56304" w:rsidRDefault="00414A96" w:rsidP="00414A96">
            <w:pPr>
              <w:pStyle w:val="NoSpacing"/>
              <w:numPr>
                <w:ilvl w:val="0"/>
                <w:numId w:val="32"/>
              </w:numPr>
              <w:jc w:val="left"/>
              <w:rPr>
                <w:rFonts w:cs="Arial"/>
                <w:sz w:val="20"/>
                <w:szCs w:val="20"/>
              </w:rPr>
            </w:pPr>
            <w:r w:rsidRPr="00C56304">
              <w:rPr>
                <w:rFonts w:cs="Arial"/>
                <w:color w:val="000000"/>
                <w:sz w:val="20"/>
                <w:szCs w:val="20"/>
              </w:rPr>
              <w:t>CPCCDE3015A – Remove Friable Asbestos</w:t>
            </w:r>
            <w:r w:rsidRPr="00C56304">
              <w:rPr>
                <w:rFonts w:cs="Arial"/>
                <w:sz w:val="20"/>
                <w:szCs w:val="20"/>
              </w:rPr>
              <w:t xml:space="preserve">.  </w:t>
            </w:r>
          </w:p>
        </w:tc>
      </w:tr>
      <w:tr w:rsidR="00414A96" w:rsidRPr="00C56304" w14:paraId="72B28BB7" w14:textId="77777777" w:rsidTr="00681605">
        <w:trPr>
          <w:tblHeader/>
        </w:trPr>
        <w:tc>
          <w:tcPr>
            <w:tcW w:w="2962" w:type="dxa"/>
          </w:tcPr>
          <w:p w14:paraId="72B28BB2" w14:textId="77777777" w:rsidR="00414A96" w:rsidRPr="00C56304" w:rsidRDefault="00414A96" w:rsidP="00EE7C25">
            <w:pPr>
              <w:pStyle w:val="Heading2"/>
              <w:numPr>
                <w:ilvl w:val="0"/>
                <w:numId w:val="37"/>
              </w:numPr>
              <w:ind w:left="455"/>
              <w:outlineLvl w:val="1"/>
              <w:rPr>
                <w:sz w:val="20"/>
                <w:szCs w:val="20"/>
              </w:rPr>
            </w:pPr>
            <w:bookmarkStart w:id="257" w:name="_Toc451257444"/>
            <w:bookmarkStart w:id="258" w:name="_Toc451422165"/>
            <w:bookmarkStart w:id="259" w:name="_Toc451437378"/>
            <w:bookmarkStart w:id="260" w:name="_Toc4661901"/>
            <w:bookmarkStart w:id="261" w:name="_Toc17104681"/>
            <w:r w:rsidRPr="00C56304">
              <w:rPr>
                <w:sz w:val="20"/>
                <w:szCs w:val="20"/>
              </w:rPr>
              <w:t>Certified safety management systems</w:t>
            </w:r>
            <w:bookmarkEnd w:id="257"/>
            <w:bookmarkEnd w:id="258"/>
            <w:bookmarkEnd w:id="259"/>
            <w:bookmarkEnd w:id="260"/>
            <w:bookmarkEnd w:id="261"/>
          </w:p>
          <w:p w14:paraId="72B28BB3" w14:textId="77777777" w:rsidR="00414A96" w:rsidRPr="00C56304" w:rsidRDefault="00414A96" w:rsidP="00EE7C25">
            <w:pPr>
              <w:pStyle w:val="Heading2"/>
              <w:ind w:left="455"/>
              <w:outlineLvl w:val="1"/>
              <w:rPr>
                <w:sz w:val="20"/>
                <w:szCs w:val="20"/>
              </w:rPr>
            </w:pPr>
          </w:p>
        </w:tc>
        <w:tc>
          <w:tcPr>
            <w:tcW w:w="3365" w:type="dxa"/>
          </w:tcPr>
          <w:p w14:paraId="72B28BB4" w14:textId="77777777" w:rsidR="00414A96" w:rsidRPr="00C56304" w:rsidRDefault="00414A96" w:rsidP="00414A96">
            <w:pPr>
              <w:pStyle w:val="NoSpacing"/>
              <w:jc w:val="left"/>
              <w:rPr>
                <w:rFonts w:cs="Arial"/>
                <w:sz w:val="20"/>
                <w:szCs w:val="20"/>
              </w:rPr>
            </w:pPr>
            <w:r w:rsidRPr="00C56304">
              <w:rPr>
                <w:rFonts w:cs="Arial"/>
                <w:sz w:val="20"/>
                <w:szCs w:val="20"/>
              </w:rPr>
              <w:t xml:space="preserve">R. 493(1)(e) prescribes that Class A asbestos removalists have a </w:t>
            </w:r>
            <w:r w:rsidRPr="00C56304">
              <w:rPr>
                <w:rFonts w:cs="Arial"/>
                <w:i/>
                <w:sz w:val="20"/>
                <w:szCs w:val="20"/>
              </w:rPr>
              <w:t>certified safety management system</w:t>
            </w:r>
            <w:r w:rsidRPr="00C56304">
              <w:rPr>
                <w:rFonts w:cs="Arial"/>
                <w:sz w:val="20"/>
                <w:szCs w:val="20"/>
              </w:rPr>
              <w:t xml:space="preserve"> (as defined in r. 5) in place and r. 6 prescribes that a regulator may make a determination for the purposes of a </w:t>
            </w:r>
            <w:r w:rsidRPr="00C56304">
              <w:rPr>
                <w:rFonts w:cs="Arial"/>
                <w:i/>
                <w:sz w:val="20"/>
                <w:szCs w:val="20"/>
              </w:rPr>
              <w:t>certified safety management system</w:t>
            </w:r>
            <w:r w:rsidRPr="00C56304">
              <w:rPr>
                <w:rFonts w:cs="Arial"/>
                <w:sz w:val="20"/>
                <w:szCs w:val="20"/>
              </w:rPr>
              <w:t>.</w:t>
            </w:r>
          </w:p>
        </w:tc>
        <w:tc>
          <w:tcPr>
            <w:tcW w:w="2962" w:type="dxa"/>
          </w:tcPr>
          <w:p w14:paraId="72B28BB5" w14:textId="77777777" w:rsidR="00414A96" w:rsidRPr="00C56304" w:rsidRDefault="00414A96" w:rsidP="00414A96">
            <w:pPr>
              <w:pStyle w:val="NoSpacing"/>
              <w:jc w:val="left"/>
              <w:rPr>
                <w:rFonts w:cs="Arial"/>
                <w:sz w:val="20"/>
                <w:szCs w:val="20"/>
              </w:rPr>
            </w:pPr>
            <w:r w:rsidRPr="00C56304">
              <w:rPr>
                <w:rFonts w:eastAsia="Times New Roman" w:cs="Arial"/>
                <w:color w:val="000000"/>
                <w:sz w:val="20"/>
                <w:szCs w:val="20"/>
                <w:lang w:eastAsia="en-AU"/>
              </w:rPr>
              <w:t>No equivalent requirement for a certified safety management system</w:t>
            </w:r>
            <w:r w:rsidRPr="00C56304">
              <w:rPr>
                <w:rFonts w:cs="Arial"/>
                <w:sz w:val="20"/>
                <w:szCs w:val="20"/>
              </w:rPr>
              <w:t xml:space="preserve">.  </w:t>
            </w:r>
          </w:p>
          <w:p w14:paraId="72B28BB6" w14:textId="77777777" w:rsidR="00414A96" w:rsidRPr="00C56304" w:rsidRDefault="00414A96" w:rsidP="00414A96">
            <w:pPr>
              <w:pStyle w:val="NoSpacing"/>
              <w:jc w:val="left"/>
              <w:rPr>
                <w:rFonts w:cs="Arial"/>
                <w:sz w:val="20"/>
                <w:szCs w:val="20"/>
              </w:rPr>
            </w:pPr>
            <w:r w:rsidRPr="00C56304">
              <w:rPr>
                <w:rFonts w:cs="Arial"/>
                <w:sz w:val="20"/>
                <w:szCs w:val="20"/>
              </w:rPr>
              <w:t xml:space="preserve">The WHS Class A Asbestos Removal Licence is equivalent to an Unrestricted Asbestos Removal Licence.  A </w:t>
            </w:r>
            <w:r w:rsidRPr="00C56304">
              <w:rPr>
                <w:rFonts w:cs="Arial"/>
                <w:i/>
                <w:sz w:val="20"/>
                <w:szCs w:val="20"/>
              </w:rPr>
              <w:t>certified safety management system</w:t>
            </w:r>
            <w:r w:rsidRPr="00C56304">
              <w:rPr>
                <w:rFonts w:cs="Arial"/>
                <w:sz w:val="20"/>
                <w:szCs w:val="20"/>
              </w:rPr>
              <w:t xml:space="preserve"> is not required.  Instead, applicants for an Unrestricted </w:t>
            </w:r>
            <w:r w:rsidRPr="00C56304">
              <w:rPr>
                <w:rFonts w:cs="Arial"/>
                <w:sz w:val="20"/>
                <w:szCs w:val="20"/>
              </w:rPr>
              <w:lastRenderedPageBreak/>
              <w:t xml:space="preserve">Asbestos Removal Licence are required to provide an </w:t>
            </w:r>
            <w:r w:rsidRPr="00C56304">
              <w:rPr>
                <w:rFonts w:eastAsia="Times New Roman" w:cs="Arial"/>
                <w:color w:val="000000"/>
                <w:sz w:val="20"/>
                <w:szCs w:val="20"/>
                <w:lang w:eastAsia="en-AU"/>
              </w:rPr>
              <w:t xml:space="preserve">asbestos removal work procedures manual.  </w:t>
            </w:r>
          </w:p>
        </w:tc>
      </w:tr>
      <w:tr w:rsidR="00414A96" w:rsidRPr="00C56304" w14:paraId="72B28BBD" w14:textId="77777777" w:rsidTr="00681605">
        <w:trPr>
          <w:tblHeader/>
        </w:trPr>
        <w:tc>
          <w:tcPr>
            <w:tcW w:w="2962" w:type="dxa"/>
          </w:tcPr>
          <w:p w14:paraId="72B28BB8" w14:textId="77777777" w:rsidR="00414A96" w:rsidRPr="00C56304" w:rsidRDefault="00414A96" w:rsidP="00EE7C25">
            <w:pPr>
              <w:pStyle w:val="Heading2"/>
              <w:numPr>
                <w:ilvl w:val="0"/>
                <w:numId w:val="37"/>
              </w:numPr>
              <w:ind w:left="455"/>
              <w:outlineLvl w:val="1"/>
              <w:rPr>
                <w:sz w:val="20"/>
                <w:szCs w:val="20"/>
              </w:rPr>
            </w:pPr>
            <w:bookmarkStart w:id="262" w:name="_Toc451257445"/>
            <w:bookmarkStart w:id="263" w:name="_Toc451422166"/>
            <w:bookmarkStart w:id="264" w:name="_Toc451437379"/>
            <w:bookmarkStart w:id="265" w:name="_Toc4661902"/>
            <w:bookmarkStart w:id="266" w:name="_Toc17104682"/>
            <w:r w:rsidRPr="00C56304">
              <w:rPr>
                <w:sz w:val="20"/>
                <w:szCs w:val="20"/>
              </w:rPr>
              <w:lastRenderedPageBreak/>
              <w:t>Licensed asbestos assessors</w:t>
            </w:r>
            <w:bookmarkEnd w:id="262"/>
            <w:bookmarkEnd w:id="263"/>
            <w:bookmarkEnd w:id="264"/>
            <w:bookmarkEnd w:id="265"/>
            <w:bookmarkEnd w:id="266"/>
          </w:p>
          <w:p w14:paraId="72B28BB9" w14:textId="77777777" w:rsidR="00414A96" w:rsidRPr="00C56304" w:rsidRDefault="00414A96" w:rsidP="00EE7C25">
            <w:pPr>
              <w:pStyle w:val="Heading2"/>
              <w:ind w:left="455"/>
              <w:outlineLvl w:val="1"/>
              <w:rPr>
                <w:sz w:val="20"/>
                <w:szCs w:val="20"/>
              </w:rPr>
            </w:pPr>
          </w:p>
        </w:tc>
        <w:tc>
          <w:tcPr>
            <w:tcW w:w="3365" w:type="dxa"/>
          </w:tcPr>
          <w:p w14:paraId="72B28BBA" w14:textId="77777777" w:rsidR="00414A96" w:rsidRPr="00C56304" w:rsidRDefault="00414A96" w:rsidP="00414A96">
            <w:pPr>
              <w:pStyle w:val="NoSpacing"/>
              <w:jc w:val="left"/>
              <w:rPr>
                <w:rFonts w:cs="Arial"/>
                <w:sz w:val="20"/>
                <w:szCs w:val="20"/>
              </w:rPr>
            </w:pPr>
            <w:r w:rsidRPr="00C56304">
              <w:rPr>
                <w:rFonts w:cs="Arial"/>
                <w:sz w:val="20"/>
                <w:szCs w:val="20"/>
              </w:rPr>
              <w:t xml:space="preserve">Part 8.10 includes a system of assessors licensed by the regulator to conduct clearance inspections for Class A licensed asbestos removal work.  </w:t>
            </w:r>
          </w:p>
          <w:p w14:paraId="72B28BBB" w14:textId="77777777" w:rsidR="00414A96" w:rsidRPr="00C56304" w:rsidRDefault="00414A96" w:rsidP="00414A96">
            <w:pPr>
              <w:pStyle w:val="NoSpacing"/>
              <w:jc w:val="left"/>
              <w:rPr>
                <w:rFonts w:cs="Arial"/>
                <w:sz w:val="20"/>
                <w:szCs w:val="20"/>
              </w:rPr>
            </w:pPr>
            <w:r w:rsidRPr="00C56304">
              <w:rPr>
                <w:rFonts w:cs="Arial"/>
                <w:sz w:val="20"/>
                <w:szCs w:val="20"/>
              </w:rPr>
              <w:t xml:space="preserve">A licenced asbestos assessor is required to have completed the </w:t>
            </w:r>
            <w:r w:rsidRPr="00C56304">
              <w:rPr>
                <w:rFonts w:cs="Arial"/>
                <w:i/>
                <w:sz w:val="20"/>
                <w:szCs w:val="20"/>
              </w:rPr>
              <w:t>specified VET course</w:t>
            </w:r>
            <w:r w:rsidRPr="00C56304">
              <w:rPr>
                <w:rFonts w:cs="Arial"/>
                <w:sz w:val="20"/>
                <w:szCs w:val="20"/>
              </w:rPr>
              <w:t xml:space="preserve"> - </w:t>
            </w:r>
            <w:r w:rsidRPr="00C56304">
              <w:rPr>
                <w:rFonts w:cs="Arial"/>
                <w:i/>
                <w:iCs/>
                <w:sz w:val="20"/>
                <w:szCs w:val="20"/>
              </w:rPr>
              <w:t>Conduct asbestos assessment associated with removal</w:t>
            </w:r>
            <w:r w:rsidRPr="00C56304">
              <w:rPr>
                <w:rFonts w:cs="Arial"/>
                <w:iCs/>
                <w:sz w:val="20"/>
                <w:szCs w:val="20"/>
              </w:rPr>
              <w:t xml:space="preserve"> and make declarations similar to those required for an asbestos removal licence.  </w:t>
            </w:r>
          </w:p>
        </w:tc>
        <w:tc>
          <w:tcPr>
            <w:tcW w:w="2962" w:type="dxa"/>
          </w:tcPr>
          <w:p w14:paraId="72B28BBC" w14:textId="77777777" w:rsidR="00414A96" w:rsidRPr="00C56304" w:rsidRDefault="00414A96" w:rsidP="00414A96">
            <w:pPr>
              <w:pStyle w:val="NoSpacing"/>
              <w:jc w:val="left"/>
              <w:rPr>
                <w:rFonts w:eastAsia="Times New Roman" w:cs="Arial"/>
                <w:color w:val="000000"/>
                <w:sz w:val="20"/>
                <w:szCs w:val="20"/>
                <w:lang w:eastAsia="en-AU"/>
              </w:rPr>
            </w:pPr>
            <w:r w:rsidRPr="00C56304">
              <w:rPr>
                <w:rFonts w:cs="Arial"/>
                <w:sz w:val="20"/>
                <w:szCs w:val="20"/>
              </w:rPr>
              <w:t>Assessors conducting clearance inspections for Class A licensed asbestos removal work are not licensed in Western Australia.  However, the Code of Practice for the Safe Removal of Asbestos 2</w:t>
            </w:r>
            <w:r w:rsidRPr="00C56304">
              <w:rPr>
                <w:rFonts w:cs="Arial"/>
                <w:sz w:val="20"/>
                <w:szCs w:val="20"/>
                <w:vertAlign w:val="superscript"/>
              </w:rPr>
              <w:t>nd</w:t>
            </w:r>
            <w:r w:rsidRPr="00C56304">
              <w:rPr>
                <w:rFonts w:cs="Arial"/>
                <w:sz w:val="20"/>
                <w:szCs w:val="20"/>
              </w:rPr>
              <w:t xml:space="preserve"> Edition [NOHSC: 2002 (2005)] (</w:t>
            </w:r>
            <w:r w:rsidRPr="00C56304">
              <w:rPr>
                <w:rFonts w:cs="Arial"/>
                <w:sz w:val="20"/>
                <w:szCs w:val="20"/>
                <w:lang w:eastAsia="en-AU"/>
              </w:rPr>
              <w:t>asbestos removal code</w:t>
            </w:r>
            <w:r w:rsidRPr="00C56304">
              <w:rPr>
                <w:rFonts w:cs="Arial"/>
                <w:sz w:val="20"/>
                <w:szCs w:val="20"/>
              </w:rPr>
              <w:t xml:space="preserve">) requires that a competent person undertakes the clearance inspections.  </w:t>
            </w:r>
          </w:p>
        </w:tc>
      </w:tr>
      <w:tr w:rsidR="00414A96" w:rsidRPr="00C56304" w14:paraId="72B28BC4" w14:textId="77777777" w:rsidTr="00681605">
        <w:trPr>
          <w:tblHeader/>
        </w:trPr>
        <w:tc>
          <w:tcPr>
            <w:tcW w:w="2962" w:type="dxa"/>
          </w:tcPr>
          <w:p w14:paraId="72B28BBE" w14:textId="77777777" w:rsidR="00414A96" w:rsidRPr="00C56304" w:rsidRDefault="00414A96" w:rsidP="00EE7C25">
            <w:pPr>
              <w:pStyle w:val="Heading2"/>
              <w:numPr>
                <w:ilvl w:val="0"/>
                <w:numId w:val="37"/>
              </w:numPr>
              <w:ind w:left="455"/>
              <w:outlineLvl w:val="1"/>
              <w:rPr>
                <w:sz w:val="20"/>
                <w:szCs w:val="20"/>
                <w:lang w:eastAsia="en-AU"/>
              </w:rPr>
            </w:pPr>
            <w:bookmarkStart w:id="267" w:name="_Toc451257447"/>
            <w:bookmarkStart w:id="268" w:name="_Toc451422168"/>
            <w:bookmarkStart w:id="269" w:name="_Toc451437381"/>
            <w:bookmarkStart w:id="270" w:name="_Toc4661903"/>
            <w:bookmarkStart w:id="271" w:name="_Toc17104683"/>
            <w:r w:rsidRPr="00C56304">
              <w:rPr>
                <w:sz w:val="20"/>
                <w:szCs w:val="20"/>
                <w:lang w:eastAsia="en-AU"/>
              </w:rPr>
              <w:t>Asbestos registers - threshold date</w:t>
            </w:r>
            <w:bookmarkEnd w:id="267"/>
            <w:bookmarkEnd w:id="268"/>
            <w:bookmarkEnd w:id="269"/>
            <w:bookmarkEnd w:id="270"/>
            <w:bookmarkEnd w:id="271"/>
          </w:p>
          <w:p w14:paraId="72B28BBF" w14:textId="77777777" w:rsidR="00414A96" w:rsidRPr="00C56304" w:rsidRDefault="00414A96" w:rsidP="00EE7C25">
            <w:pPr>
              <w:pStyle w:val="Heading2"/>
              <w:ind w:left="455"/>
              <w:outlineLvl w:val="1"/>
              <w:rPr>
                <w:sz w:val="20"/>
                <w:szCs w:val="20"/>
              </w:rPr>
            </w:pPr>
          </w:p>
        </w:tc>
        <w:tc>
          <w:tcPr>
            <w:tcW w:w="3365" w:type="dxa"/>
          </w:tcPr>
          <w:p w14:paraId="72B28BC0" w14:textId="77777777" w:rsidR="00414A96" w:rsidRPr="00C56304" w:rsidRDefault="00414A96" w:rsidP="00414A96">
            <w:pPr>
              <w:pStyle w:val="NoSpacing"/>
              <w:jc w:val="left"/>
              <w:rPr>
                <w:rFonts w:cs="Arial"/>
                <w:sz w:val="20"/>
                <w:szCs w:val="20"/>
                <w:lang w:eastAsia="en-AU"/>
              </w:rPr>
            </w:pPr>
            <w:r w:rsidRPr="00C56304">
              <w:rPr>
                <w:rFonts w:cs="Arial"/>
                <w:sz w:val="20"/>
                <w:szCs w:val="20"/>
                <w:lang w:eastAsia="en-AU"/>
              </w:rPr>
              <w:t xml:space="preserve">Under r. 425, the threshold date for creating an asbestos register is 31 December 2003 which is the date a comprehensive Australia-wide ban on the import, manufacture and use of all types of asbestos and asbestos containing material (ACM) took effect.  With some specified exceptions, the model WHS regulations require persons with management or control of buildings constructed prior to 31 December 2003 to prepare an asbestos register.  </w:t>
            </w:r>
          </w:p>
          <w:p w14:paraId="72B28BC1" w14:textId="77777777" w:rsidR="00414A96" w:rsidRPr="00C56304" w:rsidRDefault="00414A96" w:rsidP="00414A96">
            <w:pPr>
              <w:pStyle w:val="NoSpacing"/>
              <w:jc w:val="left"/>
              <w:rPr>
                <w:rFonts w:cs="Arial"/>
                <w:sz w:val="20"/>
                <w:szCs w:val="20"/>
                <w:lang w:eastAsia="en-AU"/>
              </w:rPr>
            </w:pPr>
            <w:r w:rsidRPr="00C56304">
              <w:rPr>
                <w:rFonts w:cs="Arial"/>
                <w:sz w:val="20"/>
                <w:szCs w:val="20"/>
                <w:lang w:eastAsia="en-AU"/>
              </w:rPr>
              <w:t xml:space="preserve">The 31 December 2003 date is also used as a threshold to permit maintenance or service work on non-friable asbestos in regulation 419(3)(c), management of in situ asbestos in regulation 419(3)(h), demolition and refurbishment of a structure or plant (r. 447). </w:t>
            </w:r>
          </w:p>
          <w:p w14:paraId="72B28BC2" w14:textId="77777777" w:rsidR="00414A96" w:rsidRPr="00C56304" w:rsidRDefault="00414A96" w:rsidP="00414A96">
            <w:pPr>
              <w:pStyle w:val="NoSpacing"/>
              <w:jc w:val="left"/>
              <w:rPr>
                <w:rFonts w:cs="Arial"/>
                <w:sz w:val="20"/>
                <w:szCs w:val="20"/>
              </w:rPr>
            </w:pPr>
            <w:r w:rsidRPr="00C56304">
              <w:rPr>
                <w:rFonts w:cs="Arial"/>
                <w:sz w:val="20"/>
                <w:szCs w:val="20"/>
                <w:lang w:eastAsia="en-AU"/>
              </w:rPr>
              <w:t xml:space="preserve">Workplace buildings constructed in the 13 years between 1 January 1991 and 31 December 2003 will have the obligation to create and maintain asbestos registers.  </w:t>
            </w:r>
          </w:p>
        </w:tc>
        <w:tc>
          <w:tcPr>
            <w:tcW w:w="2962" w:type="dxa"/>
          </w:tcPr>
          <w:p w14:paraId="72B28BC3" w14:textId="33EB34DB" w:rsidR="00414A96" w:rsidRPr="00C56304" w:rsidRDefault="00414A96" w:rsidP="00414A96">
            <w:pPr>
              <w:pStyle w:val="NoSpacing"/>
              <w:jc w:val="left"/>
              <w:rPr>
                <w:rFonts w:cs="Arial"/>
                <w:sz w:val="20"/>
                <w:szCs w:val="20"/>
              </w:rPr>
            </w:pPr>
            <w:r w:rsidRPr="00C56304">
              <w:rPr>
                <w:rFonts w:cs="Arial"/>
                <w:sz w:val="20"/>
                <w:szCs w:val="20"/>
                <w:lang w:eastAsia="en-AU"/>
              </w:rPr>
              <w:t>In Western Australia, construction material using asbestos was banned in the mid-eighties.  While not specified in the OSH regulations, 31 December 1990 has been used widely for the presumption that asbestos is not contained in a structure.  Consequently, under the OSH regulations, asbestos registers have not been required for buildings constructed after 31</w:t>
            </w:r>
            <w:r w:rsidR="003D0607">
              <w:rPr>
                <w:rFonts w:cs="Arial"/>
                <w:sz w:val="20"/>
                <w:szCs w:val="20"/>
                <w:lang w:eastAsia="en-AU"/>
              </w:rPr>
              <w:t> </w:t>
            </w:r>
            <w:r w:rsidRPr="00C56304">
              <w:rPr>
                <w:rFonts w:cs="Arial"/>
                <w:sz w:val="20"/>
                <w:szCs w:val="20"/>
                <w:lang w:eastAsia="en-AU"/>
              </w:rPr>
              <w:t xml:space="preserve">December 1990, unless ACM is suspected to be present.  </w:t>
            </w:r>
          </w:p>
        </w:tc>
      </w:tr>
      <w:tr w:rsidR="00414A96" w:rsidRPr="00C56304" w14:paraId="72B28BCB" w14:textId="77777777" w:rsidTr="00681605">
        <w:trPr>
          <w:tblHeader/>
        </w:trPr>
        <w:tc>
          <w:tcPr>
            <w:tcW w:w="2962" w:type="dxa"/>
          </w:tcPr>
          <w:p w14:paraId="72B28BC5" w14:textId="77777777" w:rsidR="00414A96" w:rsidRPr="00C56304" w:rsidRDefault="00414A96" w:rsidP="00EE7C25">
            <w:pPr>
              <w:pStyle w:val="Heading2"/>
              <w:numPr>
                <w:ilvl w:val="0"/>
                <w:numId w:val="37"/>
              </w:numPr>
              <w:ind w:left="455"/>
              <w:outlineLvl w:val="1"/>
              <w:rPr>
                <w:sz w:val="20"/>
                <w:szCs w:val="20"/>
                <w:lang w:eastAsia="en-AU"/>
              </w:rPr>
            </w:pPr>
            <w:bookmarkStart w:id="272" w:name="_Toc451257448"/>
            <w:bookmarkStart w:id="273" w:name="_Toc451422169"/>
            <w:bookmarkStart w:id="274" w:name="_Toc451437382"/>
            <w:bookmarkStart w:id="275" w:name="_Toc4661904"/>
            <w:bookmarkStart w:id="276" w:name="_Toc17104684"/>
            <w:r w:rsidRPr="00C56304">
              <w:rPr>
                <w:sz w:val="20"/>
                <w:szCs w:val="20"/>
                <w:lang w:eastAsia="en-AU"/>
              </w:rPr>
              <w:t>Asbestos registers – copy required</w:t>
            </w:r>
            <w:bookmarkEnd w:id="272"/>
            <w:bookmarkEnd w:id="273"/>
            <w:bookmarkEnd w:id="274"/>
            <w:bookmarkEnd w:id="275"/>
            <w:bookmarkEnd w:id="276"/>
          </w:p>
          <w:p w14:paraId="72B28BC6" w14:textId="77777777" w:rsidR="00414A96" w:rsidRPr="00C56304" w:rsidRDefault="00414A96" w:rsidP="00EE7C25">
            <w:pPr>
              <w:pStyle w:val="Heading2"/>
              <w:ind w:left="455"/>
              <w:outlineLvl w:val="1"/>
              <w:rPr>
                <w:sz w:val="20"/>
                <w:szCs w:val="20"/>
                <w:lang w:eastAsia="en-AU"/>
              </w:rPr>
            </w:pPr>
          </w:p>
        </w:tc>
        <w:tc>
          <w:tcPr>
            <w:tcW w:w="3365" w:type="dxa"/>
          </w:tcPr>
          <w:p w14:paraId="72B28BC7" w14:textId="77777777" w:rsidR="00414A96" w:rsidRPr="00C56304" w:rsidRDefault="00414A96" w:rsidP="00414A96">
            <w:pPr>
              <w:pStyle w:val="NoSpacing"/>
              <w:jc w:val="left"/>
              <w:rPr>
                <w:rFonts w:cs="Arial"/>
                <w:sz w:val="20"/>
                <w:szCs w:val="20"/>
                <w:lang w:eastAsia="en-AU"/>
              </w:rPr>
            </w:pPr>
            <w:r w:rsidRPr="00C56304">
              <w:rPr>
                <w:rFonts w:cs="Arial"/>
                <w:sz w:val="20"/>
                <w:szCs w:val="20"/>
                <w:lang w:eastAsia="en-AU"/>
              </w:rPr>
              <w:t xml:space="preserve">Part 8.6 of the model WHS regulations provide duties in relation to demolition and refurbishment of buildings built before 31 December 2003.  </w:t>
            </w:r>
          </w:p>
          <w:p w14:paraId="72B28BC8" w14:textId="77777777" w:rsidR="00414A96" w:rsidRPr="00C56304" w:rsidRDefault="00414A96" w:rsidP="00414A96">
            <w:pPr>
              <w:pStyle w:val="NoSpacing"/>
              <w:jc w:val="left"/>
              <w:rPr>
                <w:rFonts w:cs="Arial"/>
                <w:sz w:val="20"/>
                <w:szCs w:val="20"/>
                <w:lang w:eastAsia="en-AU"/>
              </w:rPr>
            </w:pPr>
            <w:r w:rsidRPr="00C56304">
              <w:rPr>
                <w:rFonts w:cs="Arial"/>
                <w:sz w:val="20"/>
                <w:szCs w:val="20"/>
                <w:lang w:eastAsia="en-AU"/>
              </w:rPr>
              <w:t xml:space="preserve">R. 449 requires the person with management or control of the workplace to provide a copy of the asbestos register to the PCBU carrying out the work.  Regulation 450 provides a mirror obligation for </w:t>
            </w:r>
            <w:r w:rsidRPr="00C56304">
              <w:rPr>
                <w:rFonts w:cs="Arial"/>
                <w:sz w:val="20"/>
                <w:szCs w:val="20"/>
                <w:lang w:eastAsia="en-AU"/>
              </w:rPr>
              <w:lastRenderedPageBreak/>
              <w:t xml:space="preserve">the PCBU to acquire a copy of the register. </w:t>
            </w:r>
          </w:p>
          <w:p w14:paraId="72B28BC9" w14:textId="77777777" w:rsidR="00414A96" w:rsidRPr="00C56304" w:rsidRDefault="00414A96" w:rsidP="00414A96">
            <w:pPr>
              <w:pStyle w:val="NoSpacing"/>
              <w:jc w:val="left"/>
              <w:rPr>
                <w:rFonts w:cs="Arial"/>
                <w:sz w:val="20"/>
                <w:szCs w:val="20"/>
                <w:lang w:eastAsia="en-AU"/>
              </w:rPr>
            </w:pPr>
            <w:r w:rsidRPr="00C56304">
              <w:rPr>
                <w:rFonts w:cs="Arial"/>
                <w:sz w:val="20"/>
                <w:szCs w:val="20"/>
                <w:lang w:eastAsia="en-AU"/>
              </w:rPr>
              <w:t xml:space="preserve">For older and larger buildings, the asbestos register may be substantial and require significant copying on behalf of the person with management or control of the workplace.  </w:t>
            </w:r>
          </w:p>
        </w:tc>
        <w:tc>
          <w:tcPr>
            <w:tcW w:w="2962" w:type="dxa"/>
          </w:tcPr>
          <w:p w14:paraId="72B28BCA" w14:textId="77777777" w:rsidR="00414A96" w:rsidRPr="00C56304" w:rsidRDefault="00414A96" w:rsidP="00414A96">
            <w:pPr>
              <w:pStyle w:val="NoSpacing"/>
              <w:jc w:val="left"/>
              <w:rPr>
                <w:rFonts w:cs="Arial"/>
                <w:sz w:val="20"/>
                <w:szCs w:val="20"/>
                <w:lang w:eastAsia="en-AU"/>
              </w:rPr>
            </w:pPr>
            <w:r w:rsidRPr="00C56304">
              <w:rPr>
                <w:rFonts w:cs="Arial"/>
                <w:sz w:val="20"/>
                <w:szCs w:val="20"/>
                <w:lang w:eastAsia="en-AU"/>
              </w:rPr>
              <w:lastRenderedPageBreak/>
              <w:t xml:space="preserve">Employers should obtain a copy of the asbestos register before conducting demolition work.  </w:t>
            </w:r>
          </w:p>
        </w:tc>
      </w:tr>
      <w:tr w:rsidR="00414A96" w:rsidRPr="00C56304" w14:paraId="72B28BD0" w14:textId="77777777" w:rsidTr="00681605">
        <w:trPr>
          <w:tblHeader/>
        </w:trPr>
        <w:tc>
          <w:tcPr>
            <w:tcW w:w="2962" w:type="dxa"/>
          </w:tcPr>
          <w:p w14:paraId="72B28BCC" w14:textId="77777777" w:rsidR="00414A96" w:rsidRPr="00C56304" w:rsidRDefault="00414A96" w:rsidP="00EE7C25">
            <w:pPr>
              <w:pStyle w:val="Heading2"/>
              <w:numPr>
                <w:ilvl w:val="0"/>
                <w:numId w:val="37"/>
              </w:numPr>
              <w:ind w:left="455"/>
              <w:outlineLvl w:val="1"/>
              <w:rPr>
                <w:sz w:val="20"/>
                <w:szCs w:val="20"/>
                <w:lang w:eastAsia="en-AU"/>
              </w:rPr>
            </w:pPr>
            <w:bookmarkStart w:id="277" w:name="_Toc451257449"/>
            <w:bookmarkStart w:id="278" w:name="_Toc451422170"/>
            <w:bookmarkStart w:id="279" w:name="_Toc451437383"/>
            <w:bookmarkStart w:id="280" w:name="_Toc4661905"/>
            <w:bookmarkStart w:id="281" w:name="_Toc17104685"/>
            <w:r w:rsidRPr="00C56304">
              <w:rPr>
                <w:sz w:val="20"/>
                <w:szCs w:val="20"/>
                <w:lang w:eastAsia="en-AU"/>
              </w:rPr>
              <w:t>Asbestos - Decontamination facilities</w:t>
            </w:r>
            <w:bookmarkEnd w:id="277"/>
            <w:bookmarkEnd w:id="278"/>
            <w:bookmarkEnd w:id="279"/>
            <w:bookmarkEnd w:id="280"/>
            <w:bookmarkEnd w:id="281"/>
          </w:p>
          <w:p w14:paraId="72B28BCD" w14:textId="77777777" w:rsidR="00414A96" w:rsidRPr="00C56304" w:rsidRDefault="00414A96" w:rsidP="00EE7C25">
            <w:pPr>
              <w:pStyle w:val="Heading2"/>
              <w:ind w:left="455"/>
              <w:outlineLvl w:val="1"/>
              <w:rPr>
                <w:sz w:val="20"/>
                <w:szCs w:val="20"/>
                <w:lang w:eastAsia="en-AU"/>
              </w:rPr>
            </w:pPr>
          </w:p>
        </w:tc>
        <w:tc>
          <w:tcPr>
            <w:tcW w:w="3365" w:type="dxa"/>
          </w:tcPr>
          <w:p w14:paraId="72B28BCE" w14:textId="77777777" w:rsidR="00414A96" w:rsidRPr="00C56304" w:rsidRDefault="00414A96" w:rsidP="00414A96">
            <w:pPr>
              <w:pStyle w:val="NoSpacing"/>
              <w:jc w:val="left"/>
              <w:rPr>
                <w:rFonts w:cs="Arial"/>
                <w:bCs/>
                <w:iCs/>
                <w:sz w:val="20"/>
                <w:szCs w:val="20"/>
              </w:rPr>
            </w:pPr>
            <w:r w:rsidRPr="00C56304">
              <w:rPr>
                <w:rFonts w:cs="Arial"/>
                <w:sz w:val="20"/>
                <w:szCs w:val="20"/>
                <w:lang w:eastAsia="en-AU"/>
              </w:rPr>
              <w:t xml:space="preserve">Requirements for decontamination facilities are provided in r. 471 (asbestos removal) and r. 483 (asbestos work).  </w:t>
            </w:r>
          </w:p>
        </w:tc>
        <w:tc>
          <w:tcPr>
            <w:tcW w:w="2962" w:type="dxa"/>
          </w:tcPr>
          <w:p w14:paraId="72B28BCF" w14:textId="0C8EE384" w:rsidR="00414A96" w:rsidRPr="00C56304" w:rsidRDefault="00414A96" w:rsidP="00414A96">
            <w:pPr>
              <w:pStyle w:val="NoSpacing"/>
              <w:jc w:val="left"/>
              <w:rPr>
                <w:rFonts w:cs="Arial"/>
                <w:sz w:val="20"/>
                <w:szCs w:val="20"/>
              </w:rPr>
            </w:pPr>
            <w:r w:rsidRPr="00C56304">
              <w:rPr>
                <w:rFonts w:cs="Arial"/>
                <w:sz w:val="20"/>
                <w:szCs w:val="20"/>
                <w:lang w:eastAsia="en-AU"/>
              </w:rPr>
              <w:t>The decontamination facilities requirements for asbestos removal are provided in the asbestos removal code.  Compliance with the asbestos removal code is required by r. 5.45.  Decontamination facilities are not specified for asbestos work other than removal work (</w:t>
            </w:r>
            <w:r w:rsidR="00872DFB" w:rsidRPr="00C56304">
              <w:rPr>
                <w:rFonts w:cs="Arial"/>
                <w:sz w:val="20"/>
                <w:szCs w:val="20"/>
                <w:lang w:eastAsia="en-AU"/>
              </w:rPr>
              <w:t>e.g.</w:t>
            </w:r>
            <w:r w:rsidRPr="00C56304">
              <w:rPr>
                <w:rFonts w:cs="Arial"/>
                <w:sz w:val="20"/>
                <w:szCs w:val="20"/>
                <w:lang w:eastAsia="en-AU"/>
              </w:rPr>
              <w:t xml:space="preserve"> maintenance).</w:t>
            </w:r>
          </w:p>
        </w:tc>
      </w:tr>
      <w:tr w:rsidR="00414A96" w:rsidRPr="00C56304" w14:paraId="72B28BD5" w14:textId="77777777" w:rsidTr="00681605">
        <w:trPr>
          <w:tblHeader/>
        </w:trPr>
        <w:tc>
          <w:tcPr>
            <w:tcW w:w="2962" w:type="dxa"/>
          </w:tcPr>
          <w:p w14:paraId="72B28BD1" w14:textId="77777777" w:rsidR="00414A96" w:rsidRPr="00C56304" w:rsidRDefault="00414A96" w:rsidP="00EE7C25">
            <w:pPr>
              <w:pStyle w:val="Heading2"/>
              <w:numPr>
                <w:ilvl w:val="0"/>
                <w:numId w:val="37"/>
              </w:numPr>
              <w:ind w:left="455"/>
              <w:outlineLvl w:val="1"/>
              <w:rPr>
                <w:sz w:val="20"/>
                <w:szCs w:val="20"/>
              </w:rPr>
            </w:pPr>
            <w:bookmarkStart w:id="282" w:name="_Toc451257450"/>
            <w:bookmarkStart w:id="283" w:name="_Toc451422171"/>
            <w:bookmarkStart w:id="284" w:name="_Toc451437384"/>
            <w:bookmarkStart w:id="285" w:name="_Toc4661906"/>
            <w:bookmarkStart w:id="286" w:name="_Toc17104686"/>
            <w:r w:rsidRPr="00C56304">
              <w:rPr>
                <w:sz w:val="20"/>
                <w:szCs w:val="20"/>
              </w:rPr>
              <w:t>Exception for trace amounts of asbestos</w:t>
            </w:r>
            <w:bookmarkEnd w:id="282"/>
            <w:bookmarkEnd w:id="283"/>
            <w:bookmarkEnd w:id="284"/>
            <w:bookmarkEnd w:id="285"/>
            <w:bookmarkEnd w:id="286"/>
          </w:p>
          <w:p w14:paraId="72B28BD2" w14:textId="77777777" w:rsidR="00414A96" w:rsidRPr="00C56304" w:rsidRDefault="00414A96" w:rsidP="00EE7C25">
            <w:pPr>
              <w:pStyle w:val="Heading2"/>
              <w:ind w:left="455"/>
              <w:outlineLvl w:val="1"/>
              <w:rPr>
                <w:sz w:val="20"/>
                <w:szCs w:val="20"/>
                <w:lang w:eastAsia="en-AU"/>
              </w:rPr>
            </w:pPr>
          </w:p>
        </w:tc>
        <w:tc>
          <w:tcPr>
            <w:tcW w:w="3365" w:type="dxa"/>
          </w:tcPr>
          <w:p w14:paraId="72B28BD3" w14:textId="77777777" w:rsidR="00414A96" w:rsidRPr="00C56304" w:rsidRDefault="00414A96" w:rsidP="00414A96">
            <w:pPr>
              <w:pStyle w:val="NoSpacing"/>
              <w:jc w:val="left"/>
              <w:rPr>
                <w:rFonts w:cs="Arial"/>
                <w:sz w:val="20"/>
                <w:szCs w:val="20"/>
                <w:lang w:eastAsia="en-AU"/>
              </w:rPr>
            </w:pPr>
            <w:r w:rsidRPr="00C56304">
              <w:rPr>
                <w:rFonts w:cs="Arial"/>
                <w:sz w:val="20"/>
                <w:szCs w:val="20"/>
              </w:rPr>
              <w:t xml:space="preserve">R. 419 provides the general prohibition on working with asbestos, but also includes a number of exceptions.  The exception provided in r. </w:t>
            </w:r>
            <w:r w:rsidRPr="00C56304">
              <w:rPr>
                <w:rFonts w:eastAsia="Times New Roman" w:cs="Arial"/>
                <w:color w:val="000000"/>
                <w:sz w:val="20"/>
                <w:szCs w:val="20"/>
                <w:lang w:eastAsia="en-AU"/>
              </w:rPr>
              <w:t xml:space="preserve">419(5)(a)(ii) relates to soil with visible friable asbestos that a competent person has determined does not contain more than trace levels of asbestos.  </w:t>
            </w:r>
          </w:p>
        </w:tc>
        <w:tc>
          <w:tcPr>
            <w:tcW w:w="2962" w:type="dxa"/>
          </w:tcPr>
          <w:p w14:paraId="72B28BD4" w14:textId="14C48506" w:rsidR="00414A96" w:rsidRPr="00C56304" w:rsidRDefault="00414A96" w:rsidP="00414A96">
            <w:pPr>
              <w:pStyle w:val="NoSpacing"/>
              <w:jc w:val="left"/>
              <w:rPr>
                <w:rFonts w:cs="Arial"/>
                <w:sz w:val="20"/>
                <w:szCs w:val="20"/>
                <w:lang w:eastAsia="en-AU"/>
              </w:rPr>
            </w:pPr>
            <w:r w:rsidRPr="00C56304">
              <w:rPr>
                <w:rFonts w:cs="Arial"/>
                <w:sz w:val="20"/>
                <w:szCs w:val="20"/>
                <w:lang w:eastAsia="en-AU"/>
              </w:rPr>
              <w:t>No equivalent</w:t>
            </w:r>
            <w:r w:rsidR="00B55E73">
              <w:rPr>
                <w:rFonts w:cs="Arial"/>
                <w:sz w:val="20"/>
                <w:szCs w:val="20"/>
                <w:lang w:eastAsia="en-AU"/>
              </w:rPr>
              <w:t>.</w:t>
            </w:r>
          </w:p>
        </w:tc>
      </w:tr>
      <w:tr w:rsidR="00414A96" w:rsidRPr="00C56304" w14:paraId="72B28BDD" w14:textId="77777777" w:rsidTr="00681605">
        <w:trPr>
          <w:tblHeader/>
        </w:trPr>
        <w:tc>
          <w:tcPr>
            <w:tcW w:w="2962" w:type="dxa"/>
          </w:tcPr>
          <w:p w14:paraId="72B28BD6" w14:textId="77777777" w:rsidR="00414A96" w:rsidRPr="00C56304" w:rsidRDefault="00414A96" w:rsidP="00EE7C25">
            <w:pPr>
              <w:pStyle w:val="Heading2"/>
              <w:numPr>
                <w:ilvl w:val="0"/>
                <w:numId w:val="37"/>
              </w:numPr>
              <w:ind w:left="455"/>
              <w:outlineLvl w:val="1"/>
              <w:rPr>
                <w:sz w:val="20"/>
                <w:szCs w:val="20"/>
              </w:rPr>
            </w:pPr>
            <w:bookmarkStart w:id="287" w:name="_Toc451257451"/>
            <w:bookmarkStart w:id="288" w:name="_Toc451422172"/>
            <w:bookmarkStart w:id="289" w:name="_Toc451437385"/>
            <w:bookmarkStart w:id="290" w:name="_Toc4661907"/>
            <w:bookmarkStart w:id="291" w:name="_Toc17104687"/>
            <w:r w:rsidRPr="00C56304">
              <w:rPr>
                <w:sz w:val="20"/>
                <w:szCs w:val="20"/>
              </w:rPr>
              <w:t>Laboratories that can be used to test asbestos</w:t>
            </w:r>
            <w:bookmarkEnd w:id="287"/>
            <w:bookmarkEnd w:id="288"/>
            <w:bookmarkEnd w:id="289"/>
            <w:bookmarkEnd w:id="290"/>
            <w:bookmarkEnd w:id="291"/>
          </w:p>
          <w:p w14:paraId="72B28BD7" w14:textId="77777777" w:rsidR="00414A96" w:rsidRPr="00C56304" w:rsidRDefault="00414A96" w:rsidP="00EE7C25">
            <w:pPr>
              <w:pStyle w:val="Heading2"/>
              <w:ind w:left="455"/>
              <w:outlineLvl w:val="1"/>
              <w:rPr>
                <w:sz w:val="20"/>
                <w:szCs w:val="20"/>
              </w:rPr>
            </w:pPr>
          </w:p>
        </w:tc>
        <w:tc>
          <w:tcPr>
            <w:tcW w:w="3365" w:type="dxa"/>
          </w:tcPr>
          <w:p w14:paraId="72B28BD8" w14:textId="77777777" w:rsidR="00414A96" w:rsidRPr="00C56304" w:rsidRDefault="00414A96" w:rsidP="00414A96">
            <w:pPr>
              <w:pStyle w:val="NoSpacing"/>
              <w:jc w:val="left"/>
              <w:rPr>
                <w:rFonts w:cs="Arial"/>
                <w:sz w:val="20"/>
                <w:szCs w:val="20"/>
              </w:rPr>
            </w:pPr>
            <w:r w:rsidRPr="00C56304">
              <w:rPr>
                <w:rFonts w:cs="Arial"/>
                <w:sz w:val="20"/>
                <w:szCs w:val="20"/>
              </w:rPr>
              <w:t xml:space="preserve">Laboratories that can be used to test asbestos (regulations </w:t>
            </w:r>
            <w:r w:rsidRPr="00C56304">
              <w:rPr>
                <w:rFonts w:eastAsia="Times New Roman" w:cs="Arial"/>
                <w:color w:val="000000"/>
                <w:sz w:val="20"/>
                <w:szCs w:val="20"/>
                <w:lang w:eastAsia="en-AU"/>
              </w:rPr>
              <w:t>423; 479(2)(b); 479(2)(c)) are prescribed</w:t>
            </w:r>
            <w:r w:rsidRPr="00C56304">
              <w:rPr>
                <w:rFonts w:cs="Arial"/>
                <w:sz w:val="20"/>
                <w:szCs w:val="20"/>
              </w:rPr>
              <w:t>.  These are a:</w:t>
            </w:r>
          </w:p>
          <w:p w14:paraId="72B28BD9" w14:textId="77777777" w:rsidR="00414A96" w:rsidRPr="00C56304" w:rsidRDefault="00414A96" w:rsidP="00414A96">
            <w:pPr>
              <w:pStyle w:val="NoSpacing"/>
              <w:numPr>
                <w:ilvl w:val="0"/>
                <w:numId w:val="14"/>
              </w:numPr>
              <w:jc w:val="left"/>
              <w:rPr>
                <w:rFonts w:cs="Arial"/>
                <w:sz w:val="20"/>
                <w:szCs w:val="20"/>
              </w:rPr>
            </w:pPr>
            <w:r w:rsidRPr="00C56304">
              <w:rPr>
                <w:rFonts w:cs="Arial"/>
                <w:sz w:val="20"/>
                <w:szCs w:val="20"/>
              </w:rPr>
              <w:t>National Association of Testing Authorities (NATA) accredited laboratory accredited for the relevant test method; or</w:t>
            </w:r>
          </w:p>
          <w:p w14:paraId="72B28BDA" w14:textId="77777777" w:rsidR="00414A96" w:rsidRPr="00C56304" w:rsidRDefault="00414A96" w:rsidP="00414A96">
            <w:pPr>
              <w:pStyle w:val="NoSpacing"/>
              <w:numPr>
                <w:ilvl w:val="0"/>
                <w:numId w:val="14"/>
              </w:numPr>
              <w:jc w:val="left"/>
              <w:rPr>
                <w:rFonts w:cs="Arial"/>
                <w:sz w:val="20"/>
                <w:szCs w:val="20"/>
              </w:rPr>
            </w:pPr>
            <w:r w:rsidRPr="00C56304">
              <w:rPr>
                <w:rFonts w:cs="Arial"/>
                <w:sz w:val="20"/>
                <w:szCs w:val="20"/>
              </w:rPr>
              <w:t>laboratory approved by the regulator in accordance with guidelines published by SWA; or</w:t>
            </w:r>
          </w:p>
          <w:p w14:paraId="72B28BDB" w14:textId="77777777" w:rsidR="00414A96" w:rsidRPr="00C56304" w:rsidRDefault="00414A96" w:rsidP="00414A96">
            <w:pPr>
              <w:pStyle w:val="NoSpacing"/>
              <w:numPr>
                <w:ilvl w:val="0"/>
                <w:numId w:val="14"/>
              </w:numPr>
              <w:jc w:val="left"/>
              <w:rPr>
                <w:rFonts w:cs="Arial"/>
                <w:sz w:val="20"/>
                <w:szCs w:val="20"/>
              </w:rPr>
            </w:pPr>
            <w:r w:rsidRPr="00C56304">
              <w:rPr>
                <w:rFonts w:cs="Arial"/>
                <w:sz w:val="20"/>
                <w:szCs w:val="20"/>
              </w:rPr>
              <w:t>laboratory operated by the regulator.</w:t>
            </w:r>
          </w:p>
        </w:tc>
        <w:tc>
          <w:tcPr>
            <w:tcW w:w="2962" w:type="dxa"/>
          </w:tcPr>
          <w:p w14:paraId="72B28BDC" w14:textId="77777777" w:rsidR="00414A96" w:rsidRPr="00C56304" w:rsidRDefault="00414A96" w:rsidP="00414A96">
            <w:pPr>
              <w:pStyle w:val="NoSpacing"/>
              <w:jc w:val="left"/>
              <w:rPr>
                <w:rFonts w:cs="Arial"/>
                <w:sz w:val="20"/>
                <w:szCs w:val="20"/>
                <w:lang w:eastAsia="en-AU"/>
              </w:rPr>
            </w:pPr>
            <w:r w:rsidRPr="00C56304">
              <w:rPr>
                <w:rFonts w:cs="Arial"/>
                <w:sz w:val="20"/>
                <w:szCs w:val="20"/>
              </w:rPr>
              <w:t>DMIRS does not have the authority to approve laboratories to conduct tests for asbestos or to offer its laboratory for this purpose.  DMIRS does not operate such a laboratory.</w:t>
            </w:r>
          </w:p>
        </w:tc>
      </w:tr>
      <w:tr w:rsidR="00414A96" w:rsidRPr="00C56304" w14:paraId="72B28BE4" w14:textId="77777777" w:rsidTr="00681605">
        <w:trPr>
          <w:tblHeader/>
        </w:trPr>
        <w:tc>
          <w:tcPr>
            <w:tcW w:w="2962" w:type="dxa"/>
          </w:tcPr>
          <w:p w14:paraId="72B28BDE" w14:textId="77777777" w:rsidR="00414A96" w:rsidRPr="00C56304" w:rsidRDefault="00414A96" w:rsidP="00EE7C25">
            <w:pPr>
              <w:pStyle w:val="Heading2"/>
              <w:numPr>
                <w:ilvl w:val="0"/>
                <w:numId w:val="37"/>
              </w:numPr>
              <w:ind w:left="455"/>
              <w:outlineLvl w:val="1"/>
              <w:rPr>
                <w:sz w:val="20"/>
                <w:szCs w:val="20"/>
              </w:rPr>
            </w:pPr>
            <w:bookmarkStart w:id="292" w:name="_Toc4661908"/>
            <w:bookmarkStart w:id="293" w:name="_Toc17104688"/>
            <w:r w:rsidRPr="00C56304">
              <w:rPr>
                <w:sz w:val="20"/>
                <w:szCs w:val="20"/>
              </w:rPr>
              <w:t>Asbestos removal control plan</w:t>
            </w:r>
            <w:bookmarkEnd w:id="292"/>
            <w:bookmarkEnd w:id="293"/>
          </w:p>
          <w:p w14:paraId="72B28BDF" w14:textId="77777777" w:rsidR="00414A96" w:rsidRPr="00C56304" w:rsidRDefault="00414A96" w:rsidP="00EE7C25">
            <w:pPr>
              <w:pStyle w:val="Heading2"/>
              <w:ind w:left="455"/>
              <w:outlineLvl w:val="1"/>
              <w:rPr>
                <w:sz w:val="20"/>
                <w:szCs w:val="20"/>
              </w:rPr>
            </w:pPr>
          </w:p>
        </w:tc>
        <w:tc>
          <w:tcPr>
            <w:tcW w:w="3365" w:type="dxa"/>
          </w:tcPr>
          <w:p w14:paraId="72B28BE0" w14:textId="77777777" w:rsidR="00414A96" w:rsidRPr="00C56304" w:rsidRDefault="00414A96" w:rsidP="00414A96">
            <w:pPr>
              <w:pStyle w:val="NoSpacing"/>
              <w:jc w:val="left"/>
              <w:rPr>
                <w:rFonts w:cs="Arial"/>
                <w:sz w:val="20"/>
                <w:szCs w:val="20"/>
              </w:rPr>
            </w:pPr>
            <w:r w:rsidRPr="00C56304">
              <w:rPr>
                <w:rFonts w:cs="Arial"/>
                <w:sz w:val="20"/>
                <w:szCs w:val="20"/>
              </w:rPr>
              <w:t xml:space="preserve">R. 464 requires a licensed asbestos removalist to prepare an asbestos removal control plan.  </w:t>
            </w:r>
          </w:p>
          <w:p w14:paraId="72B28BE1" w14:textId="77777777" w:rsidR="00414A96" w:rsidRPr="00C56304" w:rsidRDefault="00414A96" w:rsidP="00414A96">
            <w:pPr>
              <w:pStyle w:val="NoSpacing"/>
              <w:jc w:val="left"/>
              <w:rPr>
                <w:rFonts w:cs="Arial"/>
                <w:sz w:val="20"/>
                <w:szCs w:val="20"/>
              </w:rPr>
            </w:pPr>
            <w:r w:rsidRPr="00C56304">
              <w:rPr>
                <w:rFonts w:cs="Arial"/>
                <w:sz w:val="20"/>
                <w:szCs w:val="20"/>
              </w:rPr>
              <w:t xml:space="preserve">Asbestos work is also high risk construction work (r. 291(d)) and requires a safe work method statement.  </w:t>
            </w:r>
          </w:p>
        </w:tc>
        <w:tc>
          <w:tcPr>
            <w:tcW w:w="2962" w:type="dxa"/>
          </w:tcPr>
          <w:p w14:paraId="72B28BE2" w14:textId="72CC9043" w:rsidR="00414A96" w:rsidRPr="00C56304" w:rsidRDefault="00414A96" w:rsidP="00414A96">
            <w:pPr>
              <w:pStyle w:val="NoSpacing"/>
              <w:jc w:val="left"/>
              <w:rPr>
                <w:rFonts w:cs="Arial"/>
                <w:sz w:val="20"/>
                <w:szCs w:val="20"/>
              </w:rPr>
            </w:pPr>
            <w:r w:rsidRPr="00C56304">
              <w:rPr>
                <w:rFonts w:cs="Arial"/>
                <w:sz w:val="20"/>
                <w:szCs w:val="20"/>
              </w:rPr>
              <w:t>An asbestos remov</w:t>
            </w:r>
            <w:r w:rsidR="00B55E73">
              <w:rPr>
                <w:rFonts w:cs="Arial"/>
                <w:sz w:val="20"/>
                <w:szCs w:val="20"/>
              </w:rPr>
              <w:t>al plan is not required for non-</w:t>
            </w:r>
            <w:r w:rsidRPr="00C56304">
              <w:rPr>
                <w:rFonts w:cs="Arial"/>
                <w:sz w:val="20"/>
                <w:szCs w:val="20"/>
              </w:rPr>
              <w:t>friable asbestos removal.</w:t>
            </w:r>
          </w:p>
          <w:p w14:paraId="72B28BE3" w14:textId="77777777" w:rsidR="00414A96" w:rsidRPr="00C56304" w:rsidRDefault="00414A96" w:rsidP="00414A96">
            <w:pPr>
              <w:pStyle w:val="NoSpacing"/>
              <w:jc w:val="left"/>
              <w:rPr>
                <w:rFonts w:cs="Arial"/>
                <w:sz w:val="20"/>
                <w:szCs w:val="20"/>
              </w:rPr>
            </w:pPr>
            <w:r w:rsidRPr="00C56304">
              <w:rPr>
                <w:rFonts w:cs="Arial"/>
                <w:sz w:val="20"/>
                <w:szCs w:val="20"/>
              </w:rPr>
              <w:t xml:space="preserve">R. 5.45, for friable asbestos, requires compliance with the </w:t>
            </w:r>
            <w:r w:rsidRPr="00C56304">
              <w:rPr>
                <w:rFonts w:cs="Arial"/>
                <w:sz w:val="20"/>
                <w:szCs w:val="20"/>
                <w:lang w:eastAsia="en-AU"/>
              </w:rPr>
              <w:t>asbestos removal code</w:t>
            </w:r>
            <w:r w:rsidRPr="00C56304">
              <w:rPr>
                <w:rFonts w:cs="Arial"/>
                <w:sz w:val="20"/>
                <w:szCs w:val="20"/>
              </w:rPr>
              <w:t xml:space="preserve"> and the development of an asbestos removal control plan.  </w:t>
            </w:r>
          </w:p>
        </w:tc>
      </w:tr>
      <w:tr w:rsidR="00414A96" w:rsidRPr="00C56304" w14:paraId="72B28BEB" w14:textId="77777777" w:rsidTr="00681605">
        <w:trPr>
          <w:tblHeader/>
        </w:trPr>
        <w:tc>
          <w:tcPr>
            <w:tcW w:w="2962" w:type="dxa"/>
          </w:tcPr>
          <w:p w14:paraId="72B28BE5" w14:textId="77777777" w:rsidR="00414A96" w:rsidRPr="00C56304" w:rsidRDefault="00414A96" w:rsidP="00EE7C25">
            <w:pPr>
              <w:pStyle w:val="Heading2"/>
              <w:numPr>
                <w:ilvl w:val="0"/>
                <w:numId w:val="37"/>
              </w:numPr>
              <w:ind w:left="455"/>
              <w:outlineLvl w:val="1"/>
              <w:rPr>
                <w:sz w:val="20"/>
                <w:szCs w:val="20"/>
              </w:rPr>
            </w:pPr>
            <w:bookmarkStart w:id="294" w:name="_Toc451257454"/>
            <w:bookmarkStart w:id="295" w:name="_Toc451422175"/>
            <w:bookmarkStart w:id="296" w:name="_Toc451437388"/>
            <w:bookmarkStart w:id="297" w:name="_Toc4661909"/>
            <w:bookmarkStart w:id="298" w:name="_Toc17104689"/>
            <w:r w:rsidRPr="00C56304">
              <w:rPr>
                <w:sz w:val="20"/>
                <w:szCs w:val="20"/>
              </w:rPr>
              <w:lastRenderedPageBreak/>
              <w:t>Notifications – Unrestricted asbestos removal work</w:t>
            </w:r>
            <w:bookmarkEnd w:id="294"/>
            <w:bookmarkEnd w:id="295"/>
            <w:bookmarkEnd w:id="296"/>
            <w:bookmarkEnd w:id="297"/>
            <w:bookmarkEnd w:id="298"/>
          </w:p>
          <w:p w14:paraId="72B28BE6" w14:textId="77777777" w:rsidR="00414A96" w:rsidRPr="00C56304" w:rsidRDefault="00414A96" w:rsidP="00EE7C25">
            <w:pPr>
              <w:pStyle w:val="Heading2"/>
              <w:ind w:left="455"/>
              <w:outlineLvl w:val="1"/>
              <w:rPr>
                <w:sz w:val="20"/>
                <w:szCs w:val="20"/>
              </w:rPr>
            </w:pPr>
          </w:p>
        </w:tc>
        <w:tc>
          <w:tcPr>
            <w:tcW w:w="3365" w:type="dxa"/>
          </w:tcPr>
          <w:p w14:paraId="72B28BE7" w14:textId="77777777" w:rsidR="00414A96" w:rsidRPr="00C56304" w:rsidRDefault="00414A96" w:rsidP="00414A96">
            <w:pPr>
              <w:pStyle w:val="NoSpacing"/>
              <w:jc w:val="left"/>
              <w:rPr>
                <w:rFonts w:cs="Arial"/>
                <w:sz w:val="20"/>
                <w:szCs w:val="20"/>
              </w:rPr>
            </w:pPr>
            <w:r w:rsidRPr="00C56304">
              <w:rPr>
                <w:rFonts w:cs="Arial"/>
                <w:sz w:val="20"/>
                <w:szCs w:val="20"/>
              </w:rPr>
              <w:t>R. 466 requires the licensed asbestos removalist to inform the regulator in writing five days prior to the commencement of asbestos removal work (Class A and Class B).</w:t>
            </w:r>
          </w:p>
        </w:tc>
        <w:tc>
          <w:tcPr>
            <w:tcW w:w="2962" w:type="dxa"/>
          </w:tcPr>
          <w:p w14:paraId="72B28BE8" w14:textId="77777777" w:rsidR="00414A96" w:rsidRPr="00C56304" w:rsidRDefault="00414A96" w:rsidP="00414A96">
            <w:pPr>
              <w:pStyle w:val="NoSpacing"/>
              <w:jc w:val="left"/>
              <w:rPr>
                <w:rFonts w:cs="Arial"/>
                <w:sz w:val="20"/>
                <w:szCs w:val="20"/>
              </w:rPr>
            </w:pPr>
            <w:r w:rsidRPr="00C56304">
              <w:rPr>
                <w:rFonts w:cs="Arial"/>
                <w:sz w:val="20"/>
                <w:szCs w:val="20"/>
              </w:rPr>
              <w:t xml:space="preserve">R.  5.45E permits the Commissioner to include conditions on an asbestos removal licence.  </w:t>
            </w:r>
          </w:p>
          <w:p w14:paraId="72B28BE9" w14:textId="77777777" w:rsidR="00414A96" w:rsidRPr="00C56304" w:rsidRDefault="00414A96" w:rsidP="00414A96">
            <w:pPr>
              <w:pStyle w:val="NoSpacing"/>
              <w:jc w:val="left"/>
              <w:rPr>
                <w:rFonts w:cs="Arial"/>
                <w:sz w:val="20"/>
                <w:szCs w:val="20"/>
              </w:rPr>
            </w:pPr>
            <w:r w:rsidRPr="00C56304">
              <w:rPr>
                <w:rFonts w:cs="Arial"/>
                <w:sz w:val="20"/>
                <w:szCs w:val="20"/>
              </w:rPr>
              <w:t xml:space="preserve">Notification of Unrestricted asbestos removal work 7 days prior to the work commencing is required as a condition of the licence.  The form of notification is not provided in the OSH regulations and the licence holder is required to notify in the manner and form approved by the Commissioner. </w:t>
            </w:r>
          </w:p>
          <w:p w14:paraId="72B28BEA" w14:textId="61577638" w:rsidR="00414A96" w:rsidRPr="00C56304" w:rsidRDefault="00414A96" w:rsidP="003D0607">
            <w:pPr>
              <w:pStyle w:val="NoSpacing"/>
              <w:jc w:val="left"/>
              <w:rPr>
                <w:rFonts w:cs="Arial"/>
                <w:sz w:val="20"/>
                <w:szCs w:val="20"/>
              </w:rPr>
            </w:pPr>
            <w:r w:rsidRPr="00C56304">
              <w:rPr>
                <w:rFonts w:cs="Arial"/>
                <w:sz w:val="20"/>
                <w:szCs w:val="20"/>
              </w:rPr>
              <w:t>A notification to the Commissioner for Restricted Asbestos removal work (Class</w:t>
            </w:r>
            <w:r w:rsidR="003D0607">
              <w:rPr>
                <w:rFonts w:cs="Arial"/>
                <w:sz w:val="20"/>
                <w:szCs w:val="20"/>
              </w:rPr>
              <w:t> </w:t>
            </w:r>
            <w:r w:rsidRPr="00C56304">
              <w:rPr>
                <w:rFonts w:cs="Arial"/>
                <w:sz w:val="20"/>
                <w:szCs w:val="20"/>
              </w:rPr>
              <w:t>B) is not required under the OSH regulations.</w:t>
            </w:r>
          </w:p>
        </w:tc>
      </w:tr>
      <w:tr w:rsidR="00414A96" w:rsidRPr="00C56304" w14:paraId="72B28BF0" w14:textId="77777777" w:rsidTr="00681605">
        <w:trPr>
          <w:tblHeader/>
        </w:trPr>
        <w:tc>
          <w:tcPr>
            <w:tcW w:w="2962" w:type="dxa"/>
          </w:tcPr>
          <w:p w14:paraId="72B28BEC" w14:textId="77777777" w:rsidR="00414A96" w:rsidRPr="00C56304" w:rsidRDefault="00414A96" w:rsidP="00EE7C25">
            <w:pPr>
              <w:pStyle w:val="Heading2"/>
              <w:numPr>
                <w:ilvl w:val="0"/>
                <w:numId w:val="37"/>
              </w:numPr>
              <w:ind w:left="455"/>
              <w:outlineLvl w:val="1"/>
              <w:rPr>
                <w:sz w:val="20"/>
                <w:szCs w:val="20"/>
              </w:rPr>
            </w:pPr>
            <w:bookmarkStart w:id="299" w:name="_Toc451257455"/>
            <w:bookmarkStart w:id="300" w:name="_Toc451422176"/>
            <w:bookmarkStart w:id="301" w:name="_Toc451437389"/>
            <w:bookmarkStart w:id="302" w:name="_Toc4661910"/>
            <w:bookmarkStart w:id="303" w:name="_Toc17104690"/>
            <w:r w:rsidRPr="00C56304">
              <w:rPr>
                <w:sz w:val="20"/>
                <w:szCs w:val="20"/>
              </w:rPr>
              <w:t>Notifications – Threshold to advise regulator of respirable asbestos fibres</w:t>
            </w:r>
            <w:bookmarkEnd w:id="299"/>
            <w:bookmarkEnd w:id="300"/>
            <w:bookmarkEnd w:id="301"/>
            <w:bookmarkEnd w:id="302"/>
            <w:bookmarkEnd w:id="303"/>
          </w:p>
          <w:p w14:paraId="72B28BED" w14:textId="77777777" w:rsidR="00414A96" w:rsidRPr="00C56304" w:rsidRDefault="00414A96" w:rsidP="00EE7C25">
            <w:pPr>
              <w:pStyle w:val="Heading2"/>
              <w:ind w:left="455"/>
              <w:outlineLvl w:val="1"/>
              <w:rPr>
                <w:sz w:val="20"/>
                <w:szCs w:val="20"/>
              </w:rPr>
            </w:pPr>
          </w:p>
        </w:tc>
        <w:tc>
          <w:tcPr>
            <w:tcW w:w="3365" w:type="dxa"/>
          </w:tcPr>
          <w:p w14:paraId="72B28BEE" w14:textId="77777777" w:rsidR="00414A96" w:rsidRPr="00C56304" w:rsidRDefault="00414A96" w:rsidP="00414A96">
            <w:pPr>
              <w:pStyle w:val="NoSpacing"/>
              <w:jc w:val="left"/>
              <w:rPr>
                <w:rFonts w:cs="Arial"/>
                <w:sz w:val="20"/>
                <w:szCs w:val="20"/>
              </w:rPr>
            </w:pPr>
            <w:r w:rsidRPr="00C56304">
              <w:rPr>
                <w:rFonts w:cs="Arial"/>
                <w:sz w:val="20"/>
                <w:szCs w:val="20"/>
              </w:rPr>
              <w:t xml:space="preserve">R. 476 of the model WHS regulations creates duties for a Class A (friable) asbestos removalist to take action if respirable asbestos fibres exceed a specified threshold.  R. 476(1)(b)(ii) includes a requirement to immediately notify the regulator if airborne asbestos fibres are more than 0.02 fibres/ml.  </w:t>
            </w:r>
          </w:p>
        </w:tc>
        <w:tc>
          <w:tcPr>
            <w:tcW w:w="2962" w:type="dxa"/>
          </w:tcPr>
          <w:p w14:paraId="72B28BEF" w14:textId="77777777" w:rsidR="00414A96" w:rsidRPr="00C56304" w:rsidRDefault="00414A96" w:rsidP="00414A96">
            <w:pPr>
              <w:pStyle w:val="NoSpacing"/>
              <w:jc w:val="left"/>
              <w:rPr>
                <w:rFonts w:cs="Arial"/>
                <w:sz w:val="20"/>
                <w:szCs w:val="20"/>
              </w:rPr>
            </w:pPr>
            <w:r w:rsidRPr="00C56304">
              <w:rPr>
                <w:rFonts w:cs="Arial"/>
                <w:sz w:val="20"/>
                <w:szCs w:val="20"/>
              </w:rPr>
              <w:t>Notification to the regulator is not required.</w:t>
            </w:r>
          </w:p>
        </w:tc>
      </w:tr>
      <w:tr w:rsidR="00414A96" w:rsidRPr="00C56304" w14:paraId="72B28BF5" w14:textId="77777777" w:rsidTr="00681605">
        <w:trPr>
          <w:tblHeader/>
        </w:trPr>
        <w:tc>
          <w:tcPr>
            <w:tcW w:w="2962" w:type="dxa"/>
          </w:tcPr>
          <w:p w14:paraId="72B28BF1" w14:textId="77777777" w:rsidR="00414A96" w:rsidRPr="00C56304" w:rsidRDefault="00414A96" w:rsidP="00EE7C25">
            <w:pPr>
              <w:pStyle w:val="Heading2"/>
              <w:numPr>
                <w:ilvl w:val="0"/>
                <w:numId w:val="37"/>
              </w:numPr>
              <w:ind w:left="455"/>
              <w:outlineLvl w:val="1"/>
              <w:rPr>
                <w:sz w:val="20"/>
                <w:szCs w:val="20"/>
                <w:lang w:eastAsia="en-AU"/>
              </w:rPr>
            </w:pPr>
            <w:bookmarkStart w:id="304" w:name="_Toc451257457"/>
            <w:bookmarkStart w:id="305" w:name="_Toc451422178"/>
            <w:bookmarkStart w:id="306" w:name="_Toc451437391"/>
            <w:bookmarkStart w:id="307" w:name="_Toc4661911"/>
            <w:bookmarkStart w:id="308" w:name="_Toc17104691"/>
            <w:r w:rsidRPr="00C56304">
              <w:rPr>
                <w:sz w:val="20"/>
                <w:szCs w:val="20"/>
                <w:lang w:eastAsia="en-AU"/>
              </w:rPr>
              <w:t>Informing persons in the immediate vicinity</w:t>
            </w:r>
            <w:bookmarkEnd w:id="304"/>
            <w:bookmarkEnd w:id="305"/>
            <w:bookmarkEnd w:id="306"/>
            <w:bookmarkEnd w:id="307"/>
            <w:bookmarkEnd w:id="308"/>
          </w:p>
          <w:p w14:paraId="72B28BF2" w14:textId="77777777" w:rsidR="00414A96" w:rsidRPr="00C56304" w:rsidRDefault="00414A96" w:rsidP="00EE7C25">
            <w:pPr>
              <w:pStyle w:val="Heading2"/>
              <w:ind w:left="455"/>
              <w:outlineLvl w:val="1"/>
              <w:rPr>
                <w:sz w:val="20"/>
                <w:szCs w:val="20"/>
              </w:rPr>
            </w:pPr>
          </w:p>
        </w:tc>
        <w:tc>
          <w:tcPr>
            <w:tcW w:w="3365" w:type="dxa"/>
          </w:tcPr>
          <w:p w14:paraId="72B28BF3" w14:textId="77777777" w:rsidR="00414A96" w:rsidRPr="00C56304" w:rsidRDefault="00414A96" w:rsidP="00414A96">
            <w:pPr>
              <w:pStyle w:val="NoSpacing"/>
              <w:jc w:val="left"/>
              <w:rPr>
                <w:rFonts w:cs="Arial"/>
                <w:sz w:val="20"/>
                <w:szCs w:val="20"/>
              </w:rPr>
            </w:pPr>
            <w:r w:rsidRPr="00C56304">
              <w:rPr>
                <w:rFonts w:cs="Arial"/>
                <w:sz w:val="20"/>
                <w:szCs w:val="20"/>
                <w:lang w:eastAsia="en-AU"/>
              </w:rPr>
              <w:t>R. 468 requires the person with management or control of a workplace to inform persons about asbestos control work.  R. 468(3)(b) requires that any persons occupying premises in the immediate vicinity are informed.</w:t>
            </w:r>
          </w:p>
        </w:tc>
        <w:tc>
          <w:tcPr>
            <w:tcW w:w="2962" w:type="dxa"/>
          </w:tcPr>
          <w:p w14:paraId="72B28BF4" w14:textId="77777777" w:rsidR="00414A96" w:rsidRPr="00C56304" w:rsidRDefault="00414A96" w:rsidP="00414A96">
            <w:pPr>
              <w:pStyle w:val="NoSpacing"/>
              <w:jc w:val="left"/>
              <w:rPr>
                <w:rFonts w:cs="Arial"/>
                <w:sz w:val="20"/>
                <w:szCs w:val="20"/>
              </w:rPr>
            </w:pPr>
            <w:r w:rsidRPr="00C56304">
              <w:rPr>
                <w:rFonts w:cs="Arial"/>
                <w:sz w:val="20"/>
                <w:szCs w:val="20"/>
                <w:lang w:eastAsia="en-AU"/>
              </w:rPr>
              <w:t xml:space="preserve">The asbestos removal code applies to friable asbestos work and requires that persons in adjoining properties that might be affected by the asbestos removal activities must also be consulted.    </w:t>
            </w:r>
          </w:p>
        </w:tc>
      </w:tr>
      <w:tr w:rsidR="00414A96" w:rsidRPr="00C56304" w14:paraId="72B28BFA" w14:textId="77777777" w:rsidTr="00681605">
        <w:trPr>
          <w:tblHeader/>
        </w:trPr>
        <w:tc>
          <w:tcPr>
            <w:tcW w:w="2962" w:type="dxa"/>
          </w:tcPr>
          <w:p w14:paraId="72B28BF6" w14:textId="77777777" w:rsidR="00414A96" w:rsidRPr="00C56304" w:rsidRDefault="00414A96" w:rsidP="00EE7C25">
            <w:pPr>
              <w:pStyle w:val="Heading2"/>
              <w:numPr>
                <w:ilvl w:val="0"/>
                <w:numId w:val="37"/>
              </w:numPr>
              <w:ind w:left="455"/>
              <w:outlineLvl w:val="1"/>
              <w:rPr>
                <w:sz w:val="20"/>
                <w:szCs w:val="20"/>
                <w:lang w:eastAsia="en-AU"/>
              </w:rPr>
            </w:pPr>
            <w:bookmarkStart w:id="309" w:name="_Toc4661912"/>
            <w:bookmarkStart w:id="310" w:name="_Toc17104692"/>
            <w:r w:rsidRPr="00C56304">
              <w:rPr>
                <w:sz w:val="20"/>
                <w:szCs w:val="20"/>
                <w:lang w:eastAsia="en-AU"/>
              </w:rPr>
              <w:t>Disposing of asbestos waste and contaminated personal protective equipment</w:t>
            </w:r>
            <w:bookmarkEnd w:id="309"/>
            <w:bookmarkEnd w:id="310"/>
          </w:p>
          <w:p w14:paraId="72B28BF7" w14:textId="77777777" w:rsidR="00414A96" w:rsidRPr="00C56304" w:rsidRDefault="00414A96" w:rsidP="00EE7C25">
            <w:pPr>
              <w:pStyle w:val="Heading2"/>
              <w:ind w:left="455"/>
              <w:outlineLvl w:val="1"/>
              <w:rPr>
                <w:sz w:val="20"/>
                <w:szCs w:val="20"/>
                <w:lang w:eastAsia="en-AU"/>
              </w:rPr>
            </w:pPr>
          </w:p>
        </w:tc>
        <w:tc>
          <w:tcPr>
            <w:tcW w:w="3365" w:type="dxa"/>
          </w:tcPr>
          <w:p w14:paraId="72B28BF8" w14:textId="77777777" w:rsidR="00414A96" w:rsidRPr="00C56304" w:rsidRDefault="00414A96" w:rsidP="00414A96">
            <w:pPr>
              <w:pStyle w:val="NoSpacing"/>
              <w:jc w:val="left"/>
              <w:rPr>
                <w:rFonts w:cs="Arial"/>
                <w:sz w:val="20"/>
                <w:szCs w:val="20"/>
                <w:lang w:eastAsia="en-AU"/>
              </w:rPr>
            </w:pPr>
            <w:r w:rsidRPr="00C56304">
              <w:rPr>
                <w:rFonts w:cs="Arial"/>
                <w:sz w:val="20"/>
                <w:szCs w:val="20"/>
              </w:rPr>
              <w:t>R. 472 and r. 484 provide requirements for appropriate disposal of asbestos waste and contaminated personal protective equipment (for asbestos removal work and asbestos-related work respectively).  R. 472(1)(a) requires the container to be labelled in accordance with the Globally Harmonised System of chemical labelling.</w:t>
            </w:r>
          </w:p>
        </w:tc>
        <w:tc>
          <w:tcPr>
            <w:tcW w:w="2962" w:type="dxa"/>
          </w:tcPr>
          <w:p w14:paraId="72B28BF9" w14:textId="6D072FBB" w:rsidR="00414A96" w:rsidRPr="00C56304" w:rsidRDefault="00414A96" w:rsidP="00414A96">
            <w:pPr>
              <w:pStyle w:val="NoSpacing"/>
              <w:jc w:val="left"/>
              <w:rPr>
                <w:rFonts w:cs="Arial"/>
                <w:sz w:val="20"/>
                <w:szCs w:val="20"/>
                <w:lang w:eastAsia="en-AU"/>
              </w:rPr>
            </w:pPr>
            <w:r w:rsidRPr="00C56304">
              <w:rPr>
                <w:rFonts w:cs="Arial"/>
                <w:sz w:val="20"/>
                <w:szCs w:val="20"/>
              </w:rPr>
              <w:t>R. 5.52 requires disposal to be compliant with the asbestos removal code which requires a generic label for asbestos waste</w:t>
            </w:r>
            <w:r w:rsidR="00B55E73">
              <w:rPr>
                <w:rFonts w:cs="Arial"/>
                <w:sz w:val="20"/>
                <w:szCs w:val="20"/>
              </w:rPr>
              <w:t>.</w:t>
            </w:r>
          </w:p>
        </w:tc>
      </w:tr>
      <w:tr w:rsidR="00414A96" w:rsidRPr="0036454B" w14:paraId="72B28C01" w14:textId="77777777" w:rsidTr="00681605">
        <w:trPr>
          <w:tblHeader/>
        </w:trPr>
        <w:tc>
          <w:tcPr>
            <w:tcW w:w="2962" w:type="dxa"/>
            <w:shd w:val="clear" w:color="auto" w:fill="006B6E"/>
          </w:tcPr>
          <w:p w14:paraId="72B28BFB" w14:textId="77777777" w:rsidR="00414A96" w:rsidRPr="0036454B" w:rsidRDefault="00414A96" w:rsidP="00414A96">
            <w:pPr>
              <w:pStyle w:val="Heading1"/>
              <w:outlineLvl w:val="0"/>
              <w:rPr>
                <w:color w:val="FFFFFF" w:themeColor="background1"/>
                <w:sz w:val="20"/>
                <w:szCs w:val="20"/>
              </w:rPr>
            </w:pPr>
            <w:bookmarkStart w:id="311" w:name="_Toc451257459"/>
            <w:bookmarkStart w:id="312" w:name="_Toc451422180"/>
            <w:bookmarkStart w:id="313" w:name="_Toc451437393"/>
            <w:bookmarkStart w:id="314" w:name="_Toc4661913"/>
            <w:bookmarkStart w:id="315" w:name="_Toc17104693"/>
            <w:r w:rsidRPr="0036454B">
              <w:rPr>
                <w:color w:val="FFFFFF" w:themeColor="background1"/>
                <w:sz w:val="20"/>
                <w:szCs w:val="20"/>
              </w:rPr>
              <w:t>Chapter Nine – Major Hazard Facilities</w:t>
            </w:r>
            <w:bookmarkEnd w:id="311"/>
            <w:bookmarkEnd w:id="312"/>
            <w:bookmarkEnd w:id="313"/>
            <w:bookmarkEnd w:id="314"/>
            <w:bookmarkEnd w:id="315"/>
          </w:p>
          <w:p w14:paraId="72B28BFC" w14:textId="77777777" w:rsidR="00414A96" w:rsidRPr="0036454B" w:rsidRDefault="00414A96" w:rsidP="00414A96">
            <w:pPr>
              <w:pStyle w:val="Heading2"/>
              <w:outlineLvl w:val="1"/>
              <w:rPr>
                <w:color w:val="FFFFFF" w:themeColor="background1"/>
                <w:sz w:val="20"/>
                <w:szCs w:val="20"/>
                <w:lang w:eastAsia="en-AU"/>
              </w:rPr>
            </w:pPr>
          </w:p>
        </w:tc>
        <w:tc>
          <w:tcPr>
            <w:tcW w:w="3365" w:type="dxa"/>
            <w:shd w:val="clear" w:color="auto" w:fill="006B6E"/>
          </w:tcPr>
          <w:p w14:paraId="72B28BFD" w14:textId="77777777" w:rsidR="00414A96" w:rsidRPr="0036454B" w:rsidRDefault="00414A96" w:rsidP="00414A96">
            <w:pPr>
              <w:pStyle w:val="NoSpacing"/>
              <w:jc w:val="left"/>
              <w:rPr>
                <w:rFonts w:cs="Arial"/>
                <w:color w:val="FFFFFF" w:themeColor="background1"/>
                <w:sz w:val="20"/>
                <w:szCs w:val="20"/>
              </w:rPr>
            </w:pPr>
            <w:r w:rsidRPr="0036454B">
              <w:rPr>
                <w:rFonts w:cs="Arial"/>
                <w:color w:val="FFFFFF" w:themeColor="background1"/>
                <w:sz w:val="20"/>
                <w:szCs w:val="20"/>
              </w:rPr>
              <w:t xml:space="preserve">The model WHS regulations provide for the regulation and licensing of major hazard facilities.  </w:t>
            </w:r>
          </w:p>
          <w:p w14:paraId="72B28BFE" w14:textId="77777777" w:rsidR="00414A96" w:rsidRPr="0036454B" w:rsidRDefault="00414A96" w:rsidP="00414A96">
            <w:pPr>
              <w:pStyle w:val="NoSpacing"/>
              <w:jc w:val="left"/>
              <w:rPr>
                <w:rFonts w:cs="Arial"/>
                <w:color w:val="FFFFFF" w:themeColor="background1"/>
                <w:sz w:val="20"/>
                <w:szCs w:val="20"/>
              </w:rPr>
            </w:pPr>
            <w:r w:rsidRPr="0036454B">
              <w:rPr>
                <w:rFonts w:cs="Arial"/>
                <w:color w:val="FFFFFF" w:themeColor="background1"/>
                <w:sz w:val="20"/>
                <w:szCs w:val="20"/>
              </w:rPr>
              <w:t xml:space="preserve">At this time the major hazard facilities legislation </w:t>
            </w:r>
            <w:r w:rsidRPr="0036454B">
              <w:rPr>
                <w:rFonts w:cs="Arial"/>
                <w:i/>
                <w:color w:val="FFFFFF" w:themeColor="background1"/>
                <w:sz w:val="20"/>
                <w:szCs w:val="20"/>
              </w:rPr>
              <w:t>Dangerous Goods Safety Act 2004</w:t>
            </w:r>
            <w:r w:rsidRPr="0036454B">
              <w:rPr>
                <w:rFonts w:cs="Arial"/>
                <w:color w:val="FFFFFF" w:themeColor="background1"/>
                <w:sz w:val="20"/>
                <w:szCs w:val="20"/>
              </w:rPr>
              <w:t xml:space="preserve"> will not be included in the WHS laws.  As a </w:t>
            </w:r>
            <w:r w:rsidRPr="0036454B">
              <w:rPr>
                <w:rFonts w:cs="Arial"/>
                <w:color w:val="FFFFFF" w:themeColor="background1"/>
                <w:sz w:val="20"/>
                <w:szCs w:val="20"/>
              </w:rPr>
              <w:lastRenderedPageBreak/>
              <w:t xml:space="preserve">result Part 9, Major Hazard Facilities, and all associated definitions and schedules will be removed from the WHS regulations for Western Australia.  </w:t>
            </w:r>
          </w:p>
          <w:p w14:paraId="72B28BFF" w14:textId="77777777" w:rsidR="00414A96" w:rsidRPr="0036454B" w:rsidRDefault="00414A96" w:rsidP="00414A96">
            <w:pPr>
              <w:pStyle w:val="NoSpacing"/>
              <w:jc w:val="left"/>
              <w:rPr>
                <w:rFonts w:cs="Arial"/>
                <w:color w:val="FFFFFF" w:themeColor="background1"/>
                <w:sz w:val="20"/>
                <w:szCs w:val="20"/>
              </w:rPr>
            </w:pPr>
            <w:r w:rsidRPr="0036454B">
              <w:rPr>
                <w:rFonts w:cs="Arial"/>
                <w:color w:val="FFFFFF" w:themeColor="background1"/>
                <w:sz w:val="20"/>
                <w:szCs w:val="20"/>
              </w:rPr>
              <w:t>Major hazard facilities will remain under dangerous goods legislation. However, the approach to dangerous goods will be reviewed within two years of proclamation of the WHS Act in Western Australia, with a view to determining whether dangerous goods and major hazard facility regulations are brought under the WHS Act.</w:t>
            </w:r>
          </w:p>
        </w:tc>
        <w:tc>
          <w:tcPr>
            <w:tcW w:w="2962" w:type="dxa"/>
            <w:shd w:val="clear" w:color="auto" w:fill="006B6E"/>
          </w:tcPr>
          <w:p w14:paraId="72B28C00" w14:textId="77777777" w:rsidR="00414A96" w:rsidRPr="0036454B" w:rsidRDefault="00414A96" w:rsidP="00414A96">
            <w:pPr>
              <w:pStyle w:val="NoSpacing"/>
              <w:jc w:val="left"/>
              <w:rPr>
                <w:rFonts w:cs="Arial"/>
                <w:color w:val="FFFFFF" w:themeColor="background1"/>
                <w:sz w:val="20"/>
                <w:szCs w:val="20"/>
              </w:rPr>
            </w:pPr>
          </w:p>
        </w:tc>
      </w:tr>
      <w:tr w:rsidR="00414A96" w:rsidRPr="0036454B" w14:paraId="72B28C06" w14:textId="77777777" w:rsidTr="00681605">
        <w:trPr>
          <w:tblHeader/>
        </w:trPr>
        <w:tc>
          <w:tcPr>
            <w:tcW w:w="2962" w:type="dxa"/>
            <w:shd w:val="clear" w:color="auto" w:fill="006B6E"/>
          </w:tcPr>
          <w:p w14:paraId="72B28C02" w14:textId="77777777" w:rsidR="00414A96" w:rsidRPr="0036454B" w:rsidRDefault="00414A96" w:rsidP="00414A96">
            <w:pPr>
              <w:pStyle w:val="Heading1"/>
              <w:outlineLvl w:val="0"/>
              <w:rPr>
                <w:color w:val="FFFFFF" w:themeColor="background1"/>
                <w:sz w:val="20"/>
                <w:szCs w:val="20"/>
              </w:rPr>
            </w:pPr>
            <w:bookmarkStart w:id="316" w:name="_Toc451257460"/>
            <w:bookmarkStart w:id="317" w:name="_Toc451422181"/>
            <w:bookmarkStart w:id="318" w:name="_Toc451437394"/>
            <w:bookmarkStart w:id="319" w:name="_Toc4661914"/>
            <w:bookmarkStart w:id="320" w:name="_Toc17104694"/>
            <w:r w:rsidRPr="0036454B">
              <w:rPr>
                <w:color w:val="FFFFFF" w:themeColor="background1"/>
                <w:sz w:val="20"/>
                <w:szCs w:val="20"/>
              </w:rPr>
              <w:t>Chapter Ten – Mines</w:t>
            </w:r>
            <w:bookmarkEnd w:id="316"/>
            <w:bookmarkEnd w:id="317"/>
            <w:bookmarkEnd w:id="318"/>
            <w:bookmarkEnd w:id="319"/>
            <w:bookmarkEnd w:id="320"/>
          </w:p>
          <w:p w14:paraId="72B28C03" w14:textId="77777777" w:rsidR="00414A96" w:rsidRPr="0036454B" w:rsidRDefault="00414A96" w:rsidP="00414A96">
            <w:pPr>
              <w:pStyle w:val="Heading2"/>
              <w:outlineLvl w:val="1"/>
              <w:rPr>
                <w:color w:val="FFFFFF" w:themeColor="background1"/>
                <w:sz w:val="20"/>
                <w:szCs w:val="20"/>
                <w:lang w:eastAsia="en-AU"/>
              </w:rPr>
            </w:pPr>
          </w:p>
        </w:tc>
        <w:tc>
          <w:tcPr>
            <w:tcW w:w="3365" w:type="dxa"/>
            <w:shd w:val="clear" w:color="auto" w:fill="006B6E"/>
          </w:tcPr>
          <w:p w14:paraId="72B28C04" w14:textId="77777777" w:rsidR="00414A96" w:rsidRPr="0036454B" w:rsidRDefault="00414A96" w:rsidP="00414A96">
            <w:pPr>
              <w:pStyle w:val="NoSpacing"/>
              <w:jc w:val="left"/>
              <w:rPr>
                <w:rFonts w:cs="Arial"/>
                <w:color w:val="FFFFFF" w:themeColor="background1"/>
                <w:sz w:val="20"/>
                <w:szCs w:val="20"/>
              </w:rPr>
            </w:pPr>
            <w:r w:rsidRPr="0036454B">
              <w:rPr>
                <w:rFonts w:cs="Arial"/>
                <w:color w:val="FFFFFF" w:themeColor="background1"/>
                <w:sz w:val="20"/>
                <w:szCs w:val="20"/>
              </w:rPr>
              <w:t xml:space="preserve">The Minister for Mines; Industrial Relations has advised that Mines will have its own set of regulations.  As a result, Part 10 and all associated definitions and schedules will be removed from the WHS regulations for Western Australia.  However, mines workplaces will still have to comply with all other WA WHS regulations.  </w:t>
            </w:r>
          </w:p>
        </w:tc>
        <w:tc>
          <w:tcPr>
            <w:tcW w:w="2962" w:type="dxa"/>
            <w:shd w:val="clear" w:color="auto" w:fill="006B6E"/>
          </w:tcPr>
          <w:p w14:paraId="72B28C05" w14:textId="77777777" w:rsidR="00414A96" w:rsidRPr="0036454B" w:rsidRDefault="00414A96" w:rsidP="00414A96">
            <w:pPr>
              <w:pStyle w:val="NoSpacing"/>
              <w:jc w:val="left"/>
              <w:rPr>
                <w:rFonts w:cs="Arial"/>
                <w:color w:val="FFFFFF" w:themeColor="background1"/>
                <w:sz w:val="20"/>
                <w:szCs w:val="20"/>
              </w:rPr>
            </w:pPr>
          </w:p>
        </w:tc>
      </w:tr>
      <w:tr w:rsidR="00414A96" w:rsidRPr="0036454B" w14:paraId="72B28C08" w14:textId="77777777" w:rsidTr="00681605">
        <w:trPr>
          <w:trHeight w:val="463"/>
          <w:tblHeader/>
        </w:trPr>
        <w:tc>
          <w:tcPr>
            <w:tcW w:w="9289" w:type="dxa"/>
            <w:gridSpan w:val="3"/>
            <w:shd w:val="clear" w:color="auto" w:fill="006B6E"/>
            <w:vAlign w:val="center"/>
          </w:tcPr>
          <w:p w14:paraId="72B28C07" w14:textId="77777777" w:rsidR="00414A96" w:rsidRPr="0036454B" w:rsidRDefault="00414A96" w:rsidP="00414A96">
            <w:pPr>
              <w:pStyle w:val="Heading1"/>
              <w:spacing w:before="100" w:beforeAutospacing="1" w:after="100" w:afterAutospacing="1"/>
              <w:outlineLvl w:val="0"/>
              <w:rPr>
                <w:color w:val="FFFFFF" w:themeColor="background1"/>
                <w:sz w:val="20"/>
                <w:szCs w:val="20"/>
              </w:rPr>
            </w:pPr>
            <w:bookmarkStart w:id="321" w:name="_Toc451257461"/>
            <w:bookmarkStart w:id="322" w:name="_Toc451422182"/>
            <w:bookmarkStart w:id="323" w:name="_Toc451437395"/>
            <w:bookmarkStart w:id="324" w:name="_Toc4661915"/>
            <w:bookmarkStart w:id="325" w:name="_Toc17104695"/>
            <w:r w:rsidRPr="0036454B">
              <w:rPr>
                <w:color w:val="FFFFFF" w:themeColor="background1"/>
                <w:sz w:val="20"/>
                <w:szCs w:val="20"/>
              </w:rPr>
              <w:t>Chapter 11 – General</w:t>
            </w:r>
            <w:bookmarkEnd w:id="321"/>
            <w:bookmarkEnd w:id="322"/>
            <w:bookmarkEnd w:id="323"/>
            <w:bookmarkEnd w:id="324"/>
            <w:bookmarkEnd w:id="325"/>
          </w:p>
        </w:tc>
      </w:tr>
      <w:tr w:rsidR="00414A96" w:rsidRPr="00C56304" w14:paraId="72B28C0D" w14:textId="77777777" w:rsidTr="00681605">
        <w:trPr>
          <w:tblHeader/>
        </w:trPr>
        <w:tc>
          <w:tcPr>
            <w:tcW w:w="2962" w:type="dxa"/>
          </w:tcPr>
          <w:p w14:paraId="72B28C09" w14:textId="77777777" w:rsidR="00414A96" w:rsidRPr="00C56304" w:rsidRDefault="00414A96" w:rsidP="00EE7C25">
            <w:pPr>
              <w:pStyle w:val="Heading2"/>
              <w:numPr>
                <w:ilvl w:val="0"/>
                <w:numId w:val="37"/>
              </w:numPr>
              <w:ind w:left="455"/>
              <w:outlineLvl w:val="1"/>
              <w:rPr>
                <w:sz w:val="20"/>
                <w:szCs w:val="20"/>
                <w:lang w:eastAsia="en-AU"/>
              </w:rPr>
            </w:pPr>
            <w:bookmarkStart w:id="326" w:name="_Toc4661916"/>
            <w:bookmarkStart w:id="327" w:name="_Toc17104696"/>
            <w:r w:rsidRPr="00C56304">
              <w:rPr>
                <w:sz w:val="20"/>
                <w:szCs w:val="20"/>
                <w:lang w:eastAsia="en-AU"/>
              </w:rPr>
              <w:t>Which decisions under these Regulations are reviewable</w:t>
            </w:r>
            <w:bookmarkEnd w:id="326"/>
            <w:bookmarkEnd w:id="327"/>
          </w:p>
          <w:p w14:paraId="72B28C0A" w14:textId="77777777" w:rsidR="00414A96" w:rsidRPr="00C56304" w:rsidRDefault="00414A96" w:rsidP="00EE7C25">
            <w:pPr>
              <w:pStyle w:val="Heading1"/>
              <w:ind w:left="455"/>
              <w:outlineLvl w:val="0"/>
              <w:rPr>
                <w:sz w:val="20"/>
                <w:szCs w:val="20"/>
                <w:lang w:eastAsia="en-AU"/>
              </w:rPr>
            </w:pPr>
          </w:p>
        </w:tc>
        <w:tc>
          <w:tcPr>
            <w:tcW w:w="3365" w:type="dxa"/>
          </w:tcPr>
          <w:p w14:paraId="72B28C0B" w14:textId="77777777" w:rsidR="00414A96" w:rsidRPr="00C56304" w:rsidRDefault="00414A96" w:rsidP="00414A96">
            <w:pPr>
              <w:pStyle w:val="NoSpacing"/>
              <w:jc w:val="left"/>
              <w:rPr>
                <w:rFonts w:cs="Arial"/>
                <w:sz w:val="20"/>
                <w:szCs w:val="20"/>
              </w:rPr>
            </w:pPr>
            <w:r w:rsidRPr="00C56304">
              <w:rPr>
                <w:rFonts w:cs="Arial"/>
                <w:sz w:val="20"/>
                <w:szCs w:val="20"/>
              </w:rPr>
              <w:t>R. 676 of provides a table of reviewable decisions and a description of the person eligible to make an application for a review.</w:t>
            </w:r>
          </w:p>
        </w:tc>
        <w:tc>
          <w:tcPr>
            <w:tcW w:w="2962" w:type="dxa"/>
          </w:tcPr>
          <w:p w14:paraId="72B28C0C" w14:textId="77777777" w:rsidR="00414A96" w:rsidRPr="00C56304" w:rsidRDefault="00414A96" w:rsidP="00414A96">
            <w:pPr>
              <w:pStyle w:val="NoSpacing"/>
              <w:jc w:val="left"/>
              <w:rPr>
                <w:rFonts w:cs="Arial"/>
                <w:sz w:val="20"/>
                <w:szCs w:val="20"/>
              </w:rPr>
            </w:pPr>
          </w:p>
        </w:tc>
      </w:tr>
      <w:tr w:rsidR="00414A96" w:rsidRPr="00C56304" w14:paraId="72B28C12" w14:textId="77777777" w:rsidTr="00681605">
        <w:trPr>
          <w:tblHeader/>
        </w:trPr>
        <w:tc>
          <w:tcPr>
            <w:tcW w:w="2962" w:type="dxa"/>
          </w:tcPr>
          <w:p w14:paraId="72B28C0E" w14:textId="77777777" w:rsidR="00414A96" w:rsidRPr="00C56304" w:rsidRDefault="00414A96" w:rsidP="00EE7C25">
            <w:pPr>
              <w:pStyle w:val="Heading2"/>
              <w:numPr>
                <w:ilvl w:val="0"/>
                <w:numId w:val="37"/>
              </w:numPr>
              <w:ind w:left="455"/>
              <w:outlineLvl w:val="1"/>
              <w:rPr>
                <w:sz w:val="20"/>
                <w:szCs w:val="20"/>
                <w:lang w:eastAsia="en-AU"/>
              </w:rPr>
            </w:pPr>
            <w:bookmarkStart w:id="328" w:name="_Toc4661917"/>
            <w:bookmarkStart w:id="329" w:name="_Toc17104697"/>
            <w:r w:rsidRPr="00C56304">
              <w:rPr>
                <w:sz w:val="20"/>
                <w:szCs w:val="20"/>
                <w:lang w:eastAsia="en-AU"/>
              </w:rPr>
              <w:t>Review of decisions under the Act – stay of decision</w:t>
            </w:r>
            <w:bookmarkEnd w:id="328"/>
            <w:bookmarkEnd w:id="329"/>
          </w:p>
          <w:p w14:paraId="72B28C0F" w14:textId="77777777" w:rsidR="00414A96" w:rsidRPr="00C56304" w:rsidRDefault="00414A96" w:rsidP="00EE7C25">
            <w:pPr>
              <w:pStyle w:val="Heading2"/>
              <w:ind w:left="455"/>
              <w:outlineLvl w:val="1"/>
              <w:rPr>
                <w:sz w:val="20"/>
                <w:szCs w:val="20"/>
                <w:lang w:eastAsia="en-AU"/>
              </w:rPr>
            </w:pPr>
          </w:p>
        </w:tc>
        <w:tc>
          <w:tcPr>
            <w:tcW w:w="3365" w:type="dxa"/>
          </w:tcPr>
          <w:p w14:paraId="72B28C10" w14:textId="77777777" w:rsidR="00414A96" w:rsidRPr="00C56304" w:rsidRDefault="00414A96" w:rsidP="00414A96">
            <w:pPr>
              <w:pStyle w:val="NoSpacing"/>
              <w:jc w:val="left"/>
              <w:rPr>
                <w:rFonts w:cs="Arial"/>
                <w:sz w:val="20"/>
                <w:szCs w:val="20"/>
              </w:rPr>
            </w:pPr>
            <w:r w:rsidRPr="00C56304">
              <w:rPr>
                <w:rFonts w:cs="Arial"/>
                <w:sz w:val="20"/>
                <w:szCs w:val="20"/>
              </w:rPr>
              <w:t>R. 701 Review of decisions under the Act – stay of decision, has a jurisdictional note allowing for a prescribed period to be inserted.</w:t>
            </w:r>
          </w:p>
        </w:tc>
        <w:tc>
          <w:tcPr>
            <w:tcW w:w="2962" w:type="dxa"/>
          </w:tcPr>
          <w:p w14:paraId="72B28C11" w14:textId="77777777" w:rsidR="00414A96" w:rsidRPr="00C56304" w:rsidRDefault="00414A96" w:rsidP="00414A96">
            <w:pPr>
              <w:pStyle w:val="NoSpacing"/>
              <w:jc w:val="left"/>
              <w:rPr>
                <w:rFonts w:cs="Arial"/>
                <w:sz w:val="20"/>
                <w:szCs w:val="20"/>
              </w:rPr>
            </w:pPr>
            <w:r w:rsidRPr="00C56304">
              <w:rPr>
                <w:rFonts w:cs="Arial"/>
                <w:sz w:val="20"/>
                <w:szCs w:val="20"/>
              </w:rPr>
              <w:t xml:space="preserve">Subsection 51A(2) of the </w:t>
            </w:r>
            <w:r w:rsidRPr="00C56304">
              <w:rPr>
                <w:rFonts w:cs="Arial"/>
                <w:i/>
                <w:sz w:val="20"/>
                <w:szCs w:val="20"/>
              </w:rPr>
              <w:t>Occupational Safety and Health Act 1984</w:t>
            </w:r>
            <w:r w:rsidRPr="00C56304">
              <w:rPr>
                <w:rFonts w:cs="Arial"/>
                <w:sz w:val="20"/>
                <w:szCs w:val="20"/>
              </w:rPr>
              <w:t xml:space="preserve"> (OSH Act) provides a 7 day period for requesting an external review of improvement and prohibition notices.</w:t>
            </w:r>
          </w:p>
        </w:tc>
      </w:tr>
      <w:tr w:rsidR="00414A96" w:rsidRPr="00C56304" w14:paraId="72B28C2F" w14:textId="77777777" w:rsidTr="00681605">
        <w:trPr>
          <w:tblHeader/>
        </w:trPr>
        <w:tc>
          <w:tcPr>
            <w:tcW w:w="2962" w:type="dxa"/>
          </w:tcPr>
          <w:p w14:paraId="72B28C13" w14:textId="77777777" w:rsidR="00414A96" w:rsidRPr="00C56304" w:rsidRDefault="00414A96" w:rsidP="00EE7C25">
            <w:pPr>
              <w:pStyle w:val="Heading2"/>
              <w:numPr>
                <w:ilvl w:val="0"/>
                <w:numId w:val="37"/>
              </w:numPr>
              <w:ind w:left="455"/>
              <w:outlineLvl w:val="1"/>
              <w:rPr>
                <w:sz w:val="20"/>
                <w:szCs w:val="20"/>
                <w:lang w:eastAsia="en-AU"/>
              </w:rPr>
            </w:pPr>
            <w:bookmarkStart w:id="330" w:name="_Toc4661918"/>
            <w:bookmarkStart w:id="331" w:name="_Toc17104698"/>
            <w:r w:rsidRPr="00C56304">
              <w:rPr>
                <w:sz w:val="20"/>
                <w:szCs w:val="20"/>
                <w:lang w:eastAsia="en-AU"/>
              </w:rPr>
              <w:t>Confidentiality of information – exception relating administration or enforcement of other laws</w:t>
            </w:r>
            <w:bookmarkEnd w:id="330"/>
            <w:bookmarkEnd w:id="331"/>
          </w:p>
          <w:p w14:paraId="72B28C14" w14:textId="77777777" w:rsidR="00414A96" w:rsidRPr="00C56304" w:rsidRDefault="00414A96" w:rsidP="00EE7C25">
            <w:pPr>
              <w:pStyle w:val="Heading2"/>
              <w:ind w:left="455"/>
              <w:outlineLvl w:val="1"/>
              <w:rPr>
                <w:sz w:val="20"/>
                <w:szCs w:val="20"/>
                <w:lang w:eastAsia="en-AU"/>
              </w:rPr>
            </w:pPr>
          </w:p>
        </w:tc>
        <w:tc>
          <w:tcPr>
            <w:tcW w:w="3365" w:type="dxa"/>
          </w:tcPr>
          <w:p w14:paraId="72B28C15" w14:textId="77777777" w:rsidR="00414A96" w:rsidRPr="00C56304" w:rsidRDefault="00414A96" w:rsidP="00414A96">
            <w:pPr>
              <w:pStyle w:val="NoSpacing"/>
              <w:jc w:val="left"/>
              <w:rPr>
                <w:rFonts w:cs="Arial"/>
                <w:sz w:val="20"/>
                <w:szCs w:val="20"/>
              </w:rPr>
            </w:pPr>
            <w:r w:rsidRPr="00C56304">
              <w:rPr>
                <w:rFonts w:cs="Arial"/>
                <w:sz w:val="20"/>
                <w:szCs w:val="20"/>
              </w:rPr>
              <w:t>R. 702 provides for the prescription of a corresponding WHS law for the purposes of s. 271(3)(c)(ii) of the WHS Act.  The laws proposed are:</w:t>
            </w:r>
          </w:p>
          <w:p w14:paraId="72B28C16" w14:textId="77777777" w:rsidR="00414A96" w:rsidRPr="00C56304" w:rsidRDefault="00414A96" w:rsidP="00414A96">
            <w:pPr>
              <w:pStyle w:val="Default"/>
              <w:spacing w:before="120" w:after="120"/>
              <w:rPr>
                <w:color w:val="auto"/>
                <w:sz w:val="20"/>
                <w:szCs w:val="20"/>
              </w:rPr>
            </w:pPr>
            <w:r w:rsidRPr="00C56304">
              <w:rPr>
                <w:b/>
                <w:bCs/>
                <w:color w:val="auto"/>
                <w:sz w:val="20"/>
                <w:szCs w:val="20"/>
              </w:rPr>
              <w:t xml:space="preserve">Western Australia: </w:t>
            </w:r>
          </w:p>
          <w:p w14:paraId="72B28C17" w14:textId="77777777" w:rsidR="00414A96" w:rsidRPr="00C56304" w:rsidRDefault="00414A96" w:rsidP="00414A96">
            <w:pPr>
              <w:pStyle w:val="Default"/>
              <w:numPr>
                <w:ilvl w:val="0"/>
                <w:numId w:val="15"/>
              </w:numPr>
              <w:spacing w:before="120" w:after="120"/>
              <w:ind w:left="317"/>
              <w:rPr>
                <w:color w:val="auto"/>
                <w:sz w:val="20"/>
                <w:szCs w:val="20"/>
              </w:rPr>
            </w:pPr>
            <w:r w:rsidRPr="00C56304">
              <w:rPr>
                <w:i/>
                <w:iCs/>
                <w:color w:val="auto"/>
                <w:sz w:val="20"/>
                <w:szCs w:val="20"/>
              </w:rPr>
              <w:t>Building Act 2011</w:t>
            </w:r>
          </w:p>
          <w:p w14:paraId="72B28C18" w14:textId="77777777" w:rsidR="00414A96" w:rsidRPr="00C56304" w:rsidRDefault="00414A96" w:rsidP="00414A96">
            <w:pPr>
              <w:pStyle w:val="Default"/>
              <w:numPr>
                <w:ilvl w:val="0"/>
                <w:numId w:val="15"/>
              </w:numPr>
              <w:spacing w:before="120" w:after="120"/>
              <w:ind w:left="317"/>
              <w:rPr>
                <w:color w:val="auto"/>
                <w:sz w:val="20"/>
                <w:szCs w:val="20"/>
              </w:rPr>
            </w:pPr>
            <w:r w:rsidRPr="00C56304">
              <w:rPr>
                <w:iCs/>
                <w:color w:val="auto"/>
                <w:sz w:val="20"/>
                <w:szCs w:val="20"/>
              </w:rPr>
              <w:t>Criminal Code</w:t>
            </w:r>
            <w:r w:rsidRPr="00C56304">
              <w:rPr>
                <w:sz w:val="20"/>
                <w:szCs w:val="20"/>
              </w:rPr>
              <w:t xml:space="preserve"> Act Compilation Act 1913</w:t>
            </w:r>
          </w:p>
          <w:p w14:paraId="72B28C19" w14:textId="77777777" w:rsidR="00414A96" w:rsidRPr="00C56304" w:rsidRDefault="00414A96" w:rsidP="00414A96">
            <w:pPr>
              <w:pStyle w:val="Default"/>
              <w:numPr>
                <w:ilvl w:val="0"/>
                <w:numId w:val="15"/>
              </w:numPr>
              <w:spacing w:before="120" w:after="120"/>
              <w:ind w:left="317"/>
              <w:rPr>
                <w:color w:val="auto"/>
                <w:sz w:val="20"/>
                <w:szCs w:val="20"/>
              </w:rPr>
            </w:pPr>
            <w:r w:rsidRPr="00C56304">
              <w:rPr>
                <w:i/>
                <w:iCs/>
                <w:color w:val="auto"/>
                <w:sz w:val="20"/>
                <w:szCs w:val="20"/>
              </w:rPr>
              <w:t>Dangerous Goods Safety Act 2004</w:t>
            </w:r>
          </w:p>
          <w:p w14:paraId="72B28C1A" w14:textId="77777777" w:rsidR="00414A96" w:rsidRPr="00C56304" w:rsidRDefault="00414A96" w:rsidP="00414A96">
            <w:pPr>
              <w:pStyle w:val="Default"/>
              <w:numPr>
                <w:ilvl w:val="0"/>
                <w:numId w:val="15"/>
              </w:numPr>
              <w:spacing w:before="120" w:after="120"/>
              <w:ind w:left="317"/>
              <w:rPr>
                <w:color w:val="auto"/>
                <w:sz w:val="20"/>
                <w:szCs w:val="20"/>
              </w:rPr>
            </w:pPr>
            <w:r w:rsidRPr="00C56304">
              <w:rPr>
                <w:i/>
                <w:iCs/>
                <w:color w:val="auto"/>
                <w:sz w:val="20"/>
                <w:szCs w:val="20"/>
              </w:rPr>
              <w:t>Electricity Act 1945</w:t>
            </w:r>
          </w:p>
          <w:p w14:paraId="72B28C1B" w14:textId="77777777" w:rsidR="00414A96" w:rsidRPr="00C56304" w:rsidRDefault="00414A96" w:rsidP="00414A96">
            <w:pPr>
              <w:pStyle w:val="Default"/>
              <w:numPr>
                <w:ilvl w:val="0"/>
                <w:numId w:val="15"/>
              </w:numPr>
              <w:spacing w:before="120" w:after="120"/>
              <w:ind w:left="317"/>
              <w:rPr>
                <w:color w:val="auto"/>
                <w:sz w:val="20"/>
                <w:szCs w:val="20"/>
              </w:rPr>
            </w:pPr>
            <w:r w:rsidRPr="00C56304">
              <w:rPr>
                <w:i/>
                <w:iCs/>
                <w:color w:val="auto"/>
                <w:sz w:val="20"/>
                <w:szCs w:val="20"/>
              </w:rPr>
              <w:t>Emergency Management Act 2005</w:t>
            </w:r>
          </w:p>
          <w:p w14:paraId="72B28C1C" w14:textId="77777777" w:rsidR="00414A96" w:rsidRPr="00C56304" w:rsidRDefault="00414A96" w:rsidP="00414A96">
            <w:pPr>
              <w:pStyle w:val="Default"/>
              <w:numPr>
                <w:ilvl w:val="0"/>
                <w:numId w:val="15"/>
              </w:numPr>
              <w:spacing w:before="120" w:after="120"/>
              <w:ind w:left="317"/>
              <w:rPr>
                <w:color w:val="auto"/>
                <w:sz w:val="20"/>
                <w:szCs w:val="20"/>
              </w:rPr>
            </w:pPr>
            <w:r w:rsidRPr="00C56304">
              <w:rPr>
                <w:i/>
                <w:iCs/>
                <w:color w:val="auto"/>
                <w:sz w:val="20"/>
                <w:szCs w:val="20"/>
              </w:rPr>
              <w:lastRenderedPageBreak/>
              <w:t>Fire and Emergency Services Act 1998</w:t>
            </w:r>
          </w:p>
          <w:p w14:paraId="72B28C1D" w14:textId="77777777" w:rsidR="00414A96" w:rsidRPr="00C56304" w:rsidRDefault="00414A96" w:rsidP="00414A96">
            <w:pPr>
              <w:pStyle w:val="Default"/>
              <w:numPr>
                <w:ilvl w:val="0"/>
                <w:numId w:val="15"/>
              </w:numPr>
              <w:spacing w:before="120" w:after="120"/>
              <w:ind w:left="317"/>
              <w:rPr>
                <w:color w:val="auto"/>
                <w:sz w:val="20"/>
                <w:szCs w:val="20"/>
              </w:rPr>
            </w:pPr>
            <w:r w:rsidRPr="00C56304">
              <w:rPr>
                <w:i/>
                <w:iCs/>
                <w:color w:val="auto"/>
                <w:sz w:val="20"/>
                <w:szCs w:val="20"/>
              </w:rPr>
              <w:t>Industrial Relations Act 1979</w:t>
            </w:r>
          </w:p>
          <w:p w14:paraId="72B28C1E" w14:textId="77777777" w:rsidR="00414A96" w:rsidRPr="00C56304" w:rsidRDefault="00414A96" w:rsidP="00414A96">
            <w:pPr>
              <w:pStyle w:val="Default"/>
              <w:numPr>
                <w:ilvl w:val="0"/>
                <w:numId w:val="15"/>
              </w:numPr>
              <w:spacing w:before="120" w:after="120"/>
              <w:ind w:left="317"/>
              <w:rPr>
                <w:color w:val="auto"/>
                <w:sz w:val="20"/>
                <w:szCs w:val="20"/>
              </w:rPr>
            </w:pPr>
            <w:r w:rsidRPr="00C56304">
              <w:rPr>
                <w:i/>
                <w:iCs/>
                <w:color w:val="auto"/>
                <w:sz w:val="20"/>
                <w:szCs w:val="20"/>
              </w:rPr>
              <w:t>Rail Safety National Law (WA) Act 2015</w:t>
            </w:r>
          </w:p>
          <w:p w14:paraId="72B28C1F" w14:textId="77777777" w:rsidR="00414A96" w:rsidRPr="00C56304" w:rsidRDefault="00414A96" w:rsidP="00414A96">
            <w:pPr>
              <w:pStyle w:val="Default"/>
              <w:numPr>
                <w:ilvl w:val="0"/>
                <w:numId w:val="15"/>
              </w:numPr>
              <w:spacing w:before="120" w:after="120"/>
              <w:ind w:left="317"/>
              <w:rPr>
                <w:color w:val="auto"/>
                <w:sz w:val="20"/>
                <w:szCs w:val="20"/>
              </w:rPr>
            </w:pPr>
            <w:r w:rsidRPr="00C56304">
              <w:rPr>
                <w:i/>
                <w:iCs/>
                <w:color w:val="auto"/>
                <w:sz w:val="20"/>
                <w:szCs w:val="20"/>
              </w:rPr>
              <w:t>Road Traffic (Vehicles) Act 2012</w:t>
            </w:r>
          </w:p>
          <w:p w14:paraId="72B28C20" w14:textId="77777777" w:rsidR="00414A96" w:rsidRPr="00C56304" w:rsidRDefault="00414A96" w:rsidP="00414A96">
            <w:pPr>
              <w:pStyle w:val="Default"/>
              <w:numPr>
                <w:ilvl w:val="0"/>
                <w:numId w:val="15"/>
              </w:numPr>
              <w:spacing w:before="120" w:after="120"/>
              <w:ind w:left="317"/>
              <w:rPr>
                <w:color w:val="auto"/>
                <w:sz w:val="20"/>
                <w:szCs w:val="20"/>
              </w:rPr>
            </w:pPr>
            <w:r w:rsidRPr="00C56304">
              <w:rPr>
                <w:i/>
                <w:iCs/>
                <w:sz w:val="20"/>
                <w:szCs w:val="20"/>
              </w:rPr>
              <w:t>Transport (Road Passenger Services) Act 2018</w:t>
            </w:r>
            <w:r w:rsidRPr="00C56304">
              <w:rPr>
                <w:sz w:val="20"/>
                <w:szCs w:val="20"/>
              </w:rPr>
              <w:t xml:space="preserve"> </w:t>
            </w:r>
          </w:p>
          <w:p w14:paraId="72B28C21" w14:textId="77777777" w:rsidR="00414A96" w:rsidRPr="00C56304" w:rsidRDefault="00414A96" w:rsidP="00414A96">
            <w:pPr>
              <w:pStyle w:val="Default"/>
              <w:numPr>
                <w:ilvl w:val="0"/>
                <w:numId w:val="15"/>
              </w:numPr>
              <w:spacing w:before="120" w:after="120"/>
              <w:ind w:left="317"/>
              <w:rPr>
                <w:color w:val="auto"/>
                <w:sz w:val="20"/>
                <w:szCs w:val="20"/>
              </w:rPr>
            </w:pPr>
            <w:r w:rsidRPr="00C56304">
              <w:rPr>
                <w:i/>
                <w:iCs/>
                <w:color w:val="auto"/>
                <w:sz w:val="20"/>
                <w:szCs w:val="20"/>
              </w:rPr>
              <w:t>Vocational Education and Training Act 1996</w:t>
            </w:r>
          </w:p>
          <w:p w14:paraId="72B28C22" w14:textId="0C944C24" w:rsidR="00414A96" w:rsidRPr="00EE7C25" w:rsidRDefault="00414A96" w:rsidP="00414A96">
            <w:pPr>
              <w:pStyle w:val="Default"/>
              <w:numPr>
                <w:ilvl w:val="0"/>
                <w:numId w:val="15"/>
              </w:numPr>
              <w:spacing w:before="120" w:after="120"/>
              <w:ind w:left="317"/>
              <w:rPr>
                <w:color w:val="auto"/>
                <w:sz w:val="20"/>
                <w:szCs w:val="20"/>
              </w:rPr>
            </w:pPr>
            <w:r w:rsidRPr="00C56304">
              <w:rPr>
                <w:i/>
                <w:iCs/>
                <w:color w:val="auto"/>
                <w:sz w:val="20"/>
                <w:szCs w:val="20"/>
              </w:rPr>
              <w:t>Western Australian Marine Act 1982</w:t>
            </w:r>
          </w:p>
          <w:p w14:paraId="3039C843" w14:textId="198DDF26" w:rsidR="00EE7C25" w:rsidRPr="00EE7C25" w:rsidRDefault="00EE7C25" w:rsidP="00414A96">
            <w:pPr>
              <w:pStyle w:val="Default"/>
              <w:numPr>
                <w:ilvl w:val="0"/>
                <w:numId w:val="15"/>
              </w:numPr>
              <w:spacing w:before="120" w:after="120"/>
              <w:ind w:left="317"/>
              <w:rPr>
                <w:i/>
                <w:color w:val="auto"/>
                <w:sz w:val="20"/>
                <w:szCs w:val="20"/>
              </w:rPr>
            </w:pPr>
            <w:r w:rsidRPr="00EE7C25">
              <w:rPr>
                <w:i/>
                <w:color w:val="auto"/>
                <w:sz w:val="20"/>
                <w:szCs w:val="20"/>
              </w:rPr>
              <w:t>Workers’ Compensation and Injury Management Act 1981</w:t>
            </w:r>
          </w:p>
          <w:p w14:paraId="72B28C23" w14:textId="77777777" w:rsidR="00414A96" w:rsidRPr="00C56304" w:rsidRDefault="00414A96" w:rsidP="00414A96">
            <w:pPr>
              <w:pStyle w:val="Default"/>
              <w:spacing w:before="120" w:after="120"/>
              <w:ind w:left="34"/>
              <w:rPr>
                <w:color w:val="auto"/>
                <w:sz w:val="20"/>
                <w:szCs w:val="20"/>
              </w:rPr>
            </w:pPr>
            <w:r w:rsidRPr="00C56304">
              <w:rPr>
                <w:b/>
                <w:bCs/>
                <w:color w:val="auto"/>
                <w:sz w:val="20"/>
                <w:szCs w:val="20"/>
              </w:rPr>
              <w:t xml:space="preserve">Commonwealth: </w:t>
            </w:r>
          </w:p>
          <w:p w14:paraId="72B28C24" w14:textId="414B8179" w:rsidR="00414A96" w:rsidRPr="00EE7C25" w:rsidRDefault="00414A96" w:rsidP="00414A96">
            <w:pPr>
              <w:pStyle w:val="Default"/>
              <w:numPr>
                <w:ilvl w:val="0"/>
                <w:numId w:val="15"/>
              </w:numPr>
              <w:spacing w:before="120" w:after="120"/>
              <w:ind w:left="317"/>
              <w:rPr>
                <w:color w:val="auto"/>
                <w:sz w:val="20"/>
                <w:szCs w:val="20"/>
              </w:rPr>
            </w:pPr>
            <w:r w:rsidRPr="00C56304">
              <w:rPr>
                <w:i/>
                <w:iCs/>
                <w:color w:val="auto"/>
                <w:sz w:val="20"/>
                <w:szCs w:val="20"/>
              </w:rPr>
              <w:t>Australian Border Force Act 2015</w:t>
            </w:r>
          </w:p>
          <w:p w14:paraId="08B2CBE9" w14:textId="639EBD16" w:rsidR="00EE7C25" w:rsidRPr="00EE7C25" w:rsidRDefault="00EE7C25" w:rsidP="00414A96">
            <w:pPr>
              <w:pStyle w:val="Default"/>
              <w:numPr>
                <w:ilvl w:val="0"/>
                <w:numId w:val="15"/>
              </w:numPr>
              <w:spacing w:before="120" w:after="120"/>
              <w:ind w:left="317"/>
              <w:rPr>
                <w:i/>
                <w:color w:val="auto"/>
                <w:sz w:val="20"/>
                <w:szCs w:val="20"/>
              </w:rPr>
            </w:pPr>
            <w:r w:rsidRPr="00EE7C25">
              <w:rPr>
                <w:i/>
                <w:color w:val="auto"/>
                <w:sz w:val="20"/>
                <w:szCs w:val="20"/>
              </w:rPr>
              <w:t>Customs Act 1901</w:t>
            </w:r>
          </w:p>
          <w:p w14:paraId="5BC8DE6A" w14:textId="67F13F97" w:rsidR="00EE7C25" w:rsidRPr="00EE7C25" w:rsidRDefault="00EE7C25" w:rsidP="00414A96">
            <w:pPr>
              <w:pStyle w:val="Default"/>
              <w:numPr>
                <w:ilvl w:val="0"/>
                <w:numId w:val="15"/>
              </w:numPr>
              <w:spacing w:before="120" w:after="120"/>
              <w:ind w:left="317"/>
              <w:rPr>
                <w:i/>
                <w:color w:val="auto"/>
                <w:sz w:val="20"/>
                <w:szCs w:val="20"/>
              </w:rPr>
            </w:pPr>
            <w:r w:rsidRPr="00EE7C25">
              <w:rPr>
                <w:i/>
                <w:color w:val="auto"/>
                <w:sz w:val="20"/>
                <w:szCs w:val="20"/>
              </w:rPr>
              <w:t>Health (Miscellaneous Provisions) Act 1911</w:t>
            </w:r>
          </w:p>
          <w:p w14:paraId="72B28C25" w14:textId="77777777" w:rsidR="00414A96" w:rsidRPr="00C56304" w:rsidRDefault="00414A96" w:rsidP="00414A96">
            <w:pPr>
              <w:pStyle w:val="Default"/>
              <w:numPr>
                <w:ilvl w:val="0"/>
                <w:numId w:val="15"/>
              </w:numPr>
              <w:spacing w:before="120" w:after="120"/>
              <w:ind w:left="317"/>
              <w:rPr>
                <w:color w:val="auto"/>
                <w:sz w:val="20"/>
                <w:szCs w:val="20"/>
              </w:rPr>
            </w:pPr>
            <w:r w:rsidRPr="00C56304">
              <w:rPr>
                <w:i/>
                <w:iCs/>
                <w:color w:val="auto"/>
                <w:sz w:val="20"/>
                <w:szCs w:val="20"/>
              </w:rPr>
              <w:t>National Vocational Education and Training Regulator Act 2011</w:t>
            </w:r>
          </w:p>
          <w:p w14:paraId="72B28C26" w14:textId="77777777" w:rsidR="00414A96" w:rsidRPr="00C56304" w:rsidRDefault="00414A96" w:rsidP="00414A96">
            <w:pPr>
              <w:pStyle w:val="Default"/>
              <w:numPr>
                <w:ilvl w:val="0"/>
                <w:numId w:val="15"/>
              </w:numPr>
              <w:spacing w:before="120" w:after="120"/>
              <w:ind w:left="317"/>
              <w:rPr>
                <w:color w:val="auto"/>
                <w:sz w:val="20"/>
                <w:szCs w:val="20"/>
              </w:rPr>
            </w:pPr>
            <w:r w:rsidRPr="00C56304">
              <w:rPr>
                <w:i/>
                <w:iCs/>
                <w:color w:val="auto"/>
                <w:sz w:val="20"/>
                <w:szCs w:val="20"/>
              </w:rPr>
              <w:t>Occupational Health and Safety (Maritime Industry) Act 1993</w:t>
            </w:r>
          </w:p>
          <w:p w14:paraId="72B28C27" w14:textId="77777777" w:rsidR="00414A96" w:rsidRPr="00C56304" w:rsidRDefault="00414A96" w:rsidP="00414A96">
            <w:pPr>
              <w:pStyle w:val="Default"/>
              <w:numPr>
                <w:ilvl w:val="0"/>
                <w:numId w:val="15"/>
              </w:numPr>
              <w:spacing w:before="120" w:after="120"/>
              <w:ind w:left="317"/>
              <w:rPr>
                <w:color w:val="auto"/>
                <w:sz w:val="20"/>
                <w:szCs w:val="20"/>
              </w:rPr>
            </w:pPr>
            <w:r w:rsidRPr="00C56304">
              <w:rPr>
                <w:i/>
                <w:iCs/>
                <w:sz w:val="20"/>
                <w:szCs w:val="20"/>
              </w:rPr>
              <w:t xml:space="preserve">Offshore Petroleum and Greenhouse Gas Storage </w:t>
            </w:r>
            <w:r w:rsidRPr="00C56304">
              <w:rPr>
                <w:i/>
                <w:iCs/>
                <w:color w:val="auto"/>
                <w:sz w:val="20"/>
                <w:szCs w:val="20"/>
              </w:rPr>
              <w:t>Act 2006</w:t>
            </w:r>
          </w:p>
          <w:p w14:paraId="72B28C28" w14:textId="77777777" w:rsidR="00414A96" w:rsidRPr="00C56304" w:rsidRDefault="00414A96" w:rsidP="00414A96">
            <w:pPr>
              <w:pStyle w:val="Default"/>
              <w:spacing w:before="120" w:after="120"/>
              <w:ind w:left="-43"/>
              <w:rPr>
                <w:b/>
                <w:color w:val="auto"/>
                <w:sz w:val="20"/>
                <w:szCs w:val="20"/>
              </w:rPr>
            </w:pPr>
            <w:r w:rsidRPr="00C56304">
              <w:rPr>
                <w:b/>
                <w:iCs/>
                <w:sz w:val="20"/>
                <w:szCs w:val="20"/>
              </w:rPr>
              <w:t>NSW:</w:t>
            </w:r>
          </w:p>
          <w:p w14:paraId="72B28C29" w14:textId="77777777" w:rsidR="00414A96" w:rsidRPr="00C56304" w:rsidRDefault="00414A96" w:rsidP="00414A96">
            <w:pPr>
              <w:pStyle w:val="Default"/>
              <w:numPr>
                <w:ilvl w:val="0"/>
                <w:numId w:val="15"/>
              </w:numPr>
              <w:spacing w:before="120" w:after="120"/>
              <w:ind w:left="317"/>
              <w:rPr>
                <w:color w:val="auto"/>
                <w:sz w:val="20"/>
                <w:szCs w:val="20"/>
              </w:rPr>
            </w:pPr>
            <w:r w:rsidRPr="00C56304">
              <w:rPr>
                <w:i/>
                <w:iCs/>
                <w:sz w:val="20"/>
                <w:szCs w:val="20"/>
              </w:rPr>
              <w:t>Mine Health and Safety Act 2004</w:t>
            </w:r>
          </w:p>
          <w:p w14:paraId="72B28C2A" w14:textId="77777777" w:rsidR="00414A96" w:rsidRPr="00C56304" w:rsidRDefault="00414A96" w:rsidP="00414A96">
            <w:pPr>
              <w:pStyle w:val="Default"/>
              <w:spacing w:before="120" w:after="120"/>
              <w:ind w:left="-43"/>
              <w:rPr>
                <w:b/>
                <w:color w:val="auto"/>
                <w:sz w:val="20"/>
                <w:szCs w:val="20"/>
              </w:rPr>
            </w:pPr>
            <w:r w:rsidRPr="00C56304">
              <w:rPr>
                <w:b/>
                <w:iCs/>
                <w:sz w:val="20"/>
                <w:szCs w:val="20"/>
              </w:rPr>
              <w:t>Queensland:</w:t>
            </w:r>
          </w:p>
          <w:p w14:paraId="72B28C2B" w14:textId="77777777" w:rsidR="00414A96" w:rsidRPr="00C56304" w:rsidRDefault="00414A96" w:rsidP="00414A96">
            <w:pPr>
              <w:pStyle w:val="Default"/>
              <w:numPr>
                <w:ilvl w:val="0"/>
                <w:numId w:val="15"/>
              </w:numPr>
              <w:spacing w:before="120" w:after="120"/>
              <w:ind w:left="317"/>
              <w:rPr>
                <w:color w:val="auto"/>
                <w:sz w:val="20"/>
                <w:szCs w:val="20"/>
              </w:rPr>
            </w:pPr>
            <w:r w:rsidRPr="00C56304">
              <w:rPr>
                <w:i/>
                <w:iCs/>
                <w:sz w:val="20"/>
                <w:szCs w:val="20"/>
              </w:rPr>
              <w:t>Mining and Quarrying Safety and Health Act (Qld)</w:t>
            </w:r>
          </w:p>
          <w:p w14:paraId="72B28C2C" w14:textId="77777777" w:rsidR="00414A96" w:rsidRPr="00C56304" w:rsidRDefault="00414A96" w:rsidP="00414A96">
            <w:pPr>
              <w:pStyle w:val="Default"/>
              <w:pageBreakBefore/>
              <w:spacing w:before="120" w:after="120"/>
              <w:ind w:left="34"/>
              <w:rPr>
                <w:color w:val="auto"/>
                <w:sz w:val="20"/>
                <w:szCs w:val="20"/>
              </w:rPr>
            </w:pPr>
            <w:r w:rsidRPr="00C56304">
              <w:rPr>
                <w:b/>
                <w:bCs/>
                <w:color w:val="auto"/>
                <w:sz w:val="20"/>
                <w:szCs w:val="20"/>
              </w:rPr>
              <w:t xml:space="preserve">Victoria: </w:t>
            </w:r>
          </w:p>
          <w:p w14:paraId="72B28C2D" w14:textId="77777777" w:rsidR="00414A96" w:rsidRPr="00C56304" w:rsidRDefault="00414A96" w:rsidP="00EE7C25">
            <w:pPr>
              <w:pStyle w:val="Default"/>
              <w:spacing w:before="120" w:after="120"/>
              <w:rPr>
                <w:sz w:val="20"/>
                <w:szCs w:val="20"/>
              </w:rPr>
            </w:pPr>
            <w:r w:rsidRPr="00C56304">
              <w:rPr>
                <w:i/>
                <w:iCs/>
                <w:color w:val="auto"/>
                <w:sz w:val="20"/>
                <w:szCs w:val="20"/>
              </w:rPr>
              <w:t>Occupational Health and Safety Act 2004.</w:t>
            </w:r>
          </w:p>
        </w:tc>
        <w:tc>
          <w:tcPr>
            <w:tcW w:w="2962" w:type="dxa"/>
          </w:tcPr>
          <w:p w14:paraId="72B28C2E" w14:textId="3462558A" w:rsidR="00414A96" w:rsidRPr="00C56304" w:rsidRDefault="00EE7C25" w:rsidP="00414A96">
            <w:pPr>
              <w:pStyle w:val="NoSpacing"/>
              <w:jc w:val="left"/>
              <w:rPr>
                <w:rFonts w:cs="Arial"/>
                <w:sz w:val="20"/>
                <w:szCs w:val="20"/>
              </w:rPr>
            </w:pPr>
            <w:r>
              <w:rPr>
                <w:rFonts w:cs="Arial"/>
                <w:sz w:val="20"/>
                <w:szCs w:val="20"/>
              </w:rPr>
              <w:lastRenderedPageBreak/>
              <w:t xml:space="preserve">The regulator has limited ability to disclose information. There is no equivalent to </w:t>
            </w:r>
            <w:r>
              <w:rPr>
                <w:rFonts w:cs="Arial"/>
                <w:sz w:val="20"/>
                <w:szCs w:val="20"/>
              </w:rPr>
              <w:br/>
              <w:t>s. 271(3)(c) of the WHS Act.</w:t>
            </w:r>
          </w:p>
        </w:tc>
      </w:tr>
      <w:tr w:rsidR="00414A96" w:rsidRPr="00C56304" w14:paraId="72B28C34" w14:textId="77777777" w:rsidTr="00681605">
        <w:trPr>
          <w:tblHeader/>
        </w:trPr>
        <w:tc>
          <w:tcPr>
            <w:tcW w:w="2962" w:type="dxa"/>
          </w:tcPr>
          <w:p w14:paraId="72B28C30" w14:textId="77777777" w:rsidR="00414A96" w:rsidRPr="00C56304" w:rsidRDefault="00414A96" w:rsidP="00EE7C25">
            <w:pPr>
              <w:pStyle w:val="Heading2"/>
              <w:numPr>
                <w:ilvl w:val="0"/>
                <w:numId w:val="37"/>
              </w:numPr>
              <w:ind w:left="455"/>
              <w:outlineLvl w:val="1"/>
              <w:rPr>
                <w:sz w:val="20"/>
                <w:szCs w:val="20"/>
                <w:lang w:eastAsia="en-AU"/>
              </w:rPr>
            </w:pPr>
            <w:bookmarkStart w:id="332" w:name="_Toc451257463"/>
            <w:bookmarkStart w:id="333" w:name="_Toc451422184"/>
            <w:bookmarkStart w:id="334" w:name="_Toc451437397"/>
            <w:bookmarkStart w:id="335" w:name="_Toc4661919"/>
            <w:bookmarkStart w:id="336" w:name="_Toc17104699"/>
            <w:r w:rsidRPr="00C56304">
              <w:rPr>
                <w:sz w:val="20"/>
                <w:szCs w:val="20"/>
                <w:lang w:eastAsia="en-AU"/>
              </w:rPr>
              <w:t>Publication of notices for class exemptions</w:t>
            </w:r>
            <w:bookmarkEnd w:id="332"/>
            <w:bookmarkEnd w:id="333"/>
            <w:bookmarkEnd w:id="334"/>
            <w:bookmarkEnd w:id="335"/>
            <w:bookmarkEnd w:id="336"/>
          </w:p>
          <w:p w14:paraId="72B28C31" w14:textId="77777777" w:rsidR="00414A96" w:rsidRPr="00C56304" w:rsidRDefault="00414A96" w:rsidP="00EE7C25">
            <w:pPr>
              <w:pStyle w:val="Heading2"/>
              <w:ind w:left="455"/>
              <w:outlineLvl w:val="1"/>
              <w:rPr>
                <w:sz w:val="20"/>
                <w:szCs w:val="20"/>
                <w:lang w:eastAsia="en-AU"/>
              </w:rPr>
            </w:pPr>
          </w:p>
        </w:tc>
        <w:tc>
          <w:tcPr>
            <w:tcW w:w="3365" w:type="dxa"/>
          </w:tcPr>
          <w:p w14:paraId="72B28C32" w14:textId="77777777" w:rsidR="00414A96" w:rsidRPr="00C56304" w:rsidRDefault="00414A96" w:rsidP="00414A96">
            <w:pPr>
              <w:pStyle w:val="NoSpacing"/>
              <w:jc w:val="left"/>
              <w:rPr>
                <w:rFonts w:cs="Arial"/>
                <w:sz w:val="20"/>
                <w:szCs w:val="20"/>
              </w:rPr>
            </w:pPr>
            <w:r w:rsidRPr="00C56304">
              <w:rPr>
                <w:rFonts w:cs="Arial"/>
                <w:sz w:val="20"/>
                <w:szCs w:val="20"/>
              </w:rPr>
              <w:t xml:space="preserve">R. 695 requires the regulator to publish a notice in the Government Gazette when an exemption is granted to a class of person.  </w:t>
            </w:r>
          </w:p>
        </w:tc>
        <w:tc>
          <w:tcPr>
            <w:tcW w:w="2962" w:type="dxa"/>
          </w:tcPr>
          <w:p w14:paraId="72B28C33" w14:textId="77777777" w:rsidR="00414A96" w:rsidRPr="00C56304" w:rsidRDefault="00414A96" w:rsidP="00414A96">
            <w:pPr>
              <w:pStyle w:val="NoSpacing"/>
              <w:jc w:val="left"/>
              <w:rPr>
                <w:rFonts w:cs="Arial"/>
                <w:sz w:val="20"/>
                <w:szCs w:val="20"/>
              </w:rPr>
            </w:pPr>
            <w:r w:rsidRPr="00C56304">
              <w:rPr>
                <w:rFonts w:cs="Arial"/>
                <w:sz w:val="20"/>
                <w:szCs w:val="20"/>
              </w:rPr>
              <w:t xml:space="preserve">Western Australia does not presently publish exemptions or provide class exemptions.  </w:t>
            </w:r>
          </w:p>
        </w:tc>
      </w:tr>
      <w:tr w:rsidR="00414A96" w:rsidRPr="00C56304" w14:paraId="72B28C36" w14:textId="77777777" w:rsidTr="00681605">
        <w:trPr>
          <w:trHeight w:val="449"/>
          <w:tblHeader/>
        </w:trPr>
        <w:tc>
          <w:tcPr>
            <w:tcW w:w="9289" w:type="dxa"/>
            <w:gridSpan w:val="3"/>
            <w:shd w:val="clear" w:color="auto" w:fill="006B6E"/>
            <w:vAlign w:val="center"/>
          </w:tcPr>
          <w:p w14:paraId="72B28C35" w14:textId="77777777" w:rsidR="00414A96" w:rsidRPr="0036454B" w:rsidRDefault="00414A96" w:rsidP="00414A96">
            <w:pPr>
              <w:pStyle w:val="Heading1"/>
              <w:spacing w:before="100" w:beforeAutospacing="1" w:after="100" w:afterAutospacing="1"/>
              <w:outlineLvl w:val="0"/>
              <w:rPr>
                <w:color w:val="FFFFFF" w:themeColor="background1"/>
                <w:sz w:val="20"/>
                <w:szCs w:val="20"/>
              </w:rPr>
            </w:pPr>
            <w:bookmarkStart w:id="337" w:name="_Toc451257339"/>
            <w:bookmarkStart w:id="338" w:name="_Toc451422058"/>
            <w:bookmarkStart w:id="339" w:name="_Toc451437271"/>
            <w:bookmarkStart w:id="340" w:name="_Toc4661920"/>
            <w:bookmarkStart w:id="341" w:name="_Toc17104700"/>
            <w:r w:rsidRPr="0036454B">
              <w:rPr>
                <w:color w:val="FFFFFF" w:themeColor="background1"/>
                <w:sz w:val="20"/>
                <w:szCs w:val="20"/>
              </w:rPr>
              <w:t>Record keeping</w:t>
            </w:r>
            <w:bookmarkEnd w:id="337"/>
            <w:bookmarkEnd w:id="338"/>
            <w:bookmarkEnd w:id="339"/>
            <w:bookmarkEnd w:id="340"/>
            <w:bookmarkEnd w:id="341"/>
          </w:p>
        </w:tc>
      </w:tr>
      <w:tr w:rsidR="00414A96" w:rsidRPr="00C56304" w14:paraId="72B28C3B" w14:textId="77777777" w:rsidTr="00681605">
        <w:trPr>
          <w:tblHeader/>
        </w:trPr>
        <w:tc>
          <w:tcPr>
            <w:tcW w:w="2962" w:type="dxa"/>
          </w:tcPr>
          <w:p w14:paraId="72B28C37" w14:textId="77777777" w:rsidR="00414A96" w:rsidRPr="00C56304" w:rsidRDefault="00414A96" w:rsidP="00EE7C25">
            <w:pPr>
              <w:pStyle w:val="Heading2"/>
              <w:numPr>
                <w:ilvl w:val="0"/>
                <w:numId w:val="37"/>
              </w:numPr>
              <w:ind w:left="455"/>
              <w:outlineLvl w:val="1"/>
              <w:rPr>
                <w:sz w:val="20"/>
                <w:szCs w:val="20"/>
              </w:rPr>
            </w:pPr>
            <w:bookmarkStart w:id="342" w:name="_Toc451257340"/>
            <w:bookmarkStart w:id="343" w:name="_Toc451422059"/>
            <w:bookmarkStart w:id="344" w:name="_Toc451437272"/>
            <w:bookmarkStart w:id="345" w:name="_Toc4661921"/>
            <w:bookmarkStart w:id="346" w:name="_Toc17104701"/>
            <w:r w:rsidRPr="00C56304">
              <w:rPr>
                <w:sz w:val="20"/>
                <w:szCs w:val="20"/>
              </w:rPr>
              <w:t>Retention of records – general</w:t>
            </w:r>
            <w:bookmarkEnd w:id="342"/>
            <w:bookmarkEnd w:id="343"/>
            <w:bookmarkEnd w:id="344"/>
            <w:bookmarkEnd w:id="345"/>
            <w:bookmarkEnd w:id="346"/>
          </w:p>
          <w:p w14:paraId="72B28C38" w14:textId="77777777" w:rsidR="00414A96" w:rsidRPr="00C56304" w:rsidRDefault="00414A96" w:rsidP="00EE7C25">
            <w:pPr>
              <w:pStyle w:val="Heading1"/>
              <w:ind w:left="455"/>
              <w:outlineLvl w:val="0"/>
              <w:rPr>
                <w:sz w:val="20"/>
                <w:szCs w:val="20"/>
              </w:rPr>
            </w:pPr>
          </w:p>
        </w:tc>
        <w:tc>
          <w:tcPr>
            <w:tcW w:w="3365" w:type="dxa"/>
          </w:tcPr>
          <w:p w14:paraId="72B28C39" w14:textId="77777777" w:rsidR="00414A96" w:rsidRPr="00C56304" w:rsidRDefault="00414A96" w:rsidP="00414A96">
            <w:pPr>
              <w:pStyle w:val="NoSpacing"/>
              <w:jc w:val="left"/>
              <w:rPr>
                <w:rFonts w:cs="Arial"/>
                <w:sz w:val="20"/>
                <w:szCs w:val="20"/>
              </w:rPr>
            </w:pPr>
            <w:r w:rsidRPr="00C56304">
              <w:rPr>
                <w:rFonts w:cs="Arial"/>
                <w:sz w:val="20"/>
                <w:szCs w:val="20"/>
              </w:rPr>
              <w:t xml:space="preserve">Regulations </w:t>
            </w:r>
            <w:r w:rsidRPr="00C56304">
              <w:rPr>
                <w:rFonts w:eastAsia="Times New Roman" w:cs="Arial"/>
                <w:color w:val="000000"/>
                <w:sz w:val="20"/>
                <w:szCs w:val="20"/>
                <w:lang w:eastAsia="en-AU"/>
              </w:rPr>
              <w:t xml:space="preserve">77(2); 85(4); 162; 303(2); 304(6)(a)) introduce </w:t>
            </w:r>
            <w:r w:rsidRPr="00C56304">
              <w:rPr>
                <w:rFonts w:cs="Arial"/>
                <w:sz w:val="20"/>
                <w:szCs w:val="20"/>
              </w:rPr>
              <w:t xml:space="preserve">requirements for records to be kept for a prescribed period of time after the completion of the work for </w:t>
            </w:r>
            <w:r w:rsidRPr="00C56304">
              <w:rPr>
                <w:rFonts w:cs="Arial"/>
                <w:sz w:val="20"/>
                <w:szCs w:val="20"/>
              </w:rPr>
              <w:lastRenderedPageBreak/>
              <w:t>which they are created.  These regulations relate to risk assessments, evidence of high risk work, and training records, with some retention requirements being triggered by a notifiable incident.</w:t>
            </w:r>
          </w:p>
        </w:tc>
        <w:tc>
          <w:tcPr>
            <w:tcW w:w="2962" w:type="dxa"/>
          </w:tcPr>
          <w:p w14:paraId="72B28C3A" w14:textId="77777777" w:rsidR="00414A96" w:rsidRPr="00C56304" w:rsidRDefault="00414A96" w:rsidP="00414A96">
            <w:pPr>
              <w:pStyle w:val="NoSpacing"/>
              <w:jc w:val="left"/>
              <w:rPr>
                <w:rFonts w:cs="Arial"/>
                <w:sz w:val="20"/>
                <w:szCs w:val="20"/>
              </w:rPr>
            </w:pPr>
            <w:r w:rsidRPr="00C56304">
              <w:rPr>
                <w:rFonts w:cs="Arial"/>
                <w:sz w:val="20"/>
                <w:szCs w:val="20"/>
              </w:rPr>
              <w:lastRenderedPageBreak/>
              <w:t xml:space="preserve">No equivalent.  </w:t>
            </w:r>
          </w:p>
        </w:tc>
      </w:tr>
      <w:tr w:rsidR="00414A96" w:rsidRPr="00C56304" w14:paraId="72B28C40" w14:textId="77777777" w:rsidTr="00681605">
        <w:trPr>
          <w:tblHeader/>
        </w:trPr>
        <w:tc>
          <w:tcPr>
            <w:tcW w:w="2962" w:type="dxa"/>
          </w:tcPr>
          <w:p w14:paraId="72B28C3C" w14:textId="77777777" w:rsidR="00414A96" w:rsidRPr="00C56304" w:rsidRDefault="00414A96" w:rsidP="00EE7C25">
            <w:pPr>
              <w:pStyle w:val="Heading2"/>
              <w:numPr>
                <w:ilvl w:val="0"/>
                <w:numId w:val="37"/>
              </w:numPr>
              <w:ind w:left="455"/>
              <w:outlineLvl w:val="1"/>
              <w:rPr>
                <w:sz w:val="20"/>
                <w:szCs w:val="20"/>
              </w:rPr>
            </w:pPr>
            <w:bookmarkStart w:id="347" w:name="_Toc451257341"/>
            <w:bookmarkStart w:id="348" w:name="_Toc451422060"/>
            <w:bookmarkStart w:id="349" w:name="_Toc451437273"/>
            <w:bookmarkStart w:id="350" w:name="_Toc4661922"/>
            <w:bookmarkStart w:id="351" w:name="_Toc17104702"/>
            <w:r w:rsidRPr="00C56304">
              <w:rPr>
                <w:sz w:val="20"/>
                <w:szCs w:val="20"/>
              </w:rPr>
              <w:t>Retention of records after cessation of employment</w:t>
            </w:r>
            <w:bookmarkEnd w:id="347"/>
            <w:bookmarkEnd w:id="348"/>
            <w:bookmarkEnd w:id="349"/>
            <w:bookmarkEnd w:id="350"/>
            <w:bookmarkEnd w:id="351"/>
          </w:p>
          <w:p w14:paraId="72B28C3D" w14:textId="77777777" w:rsidR="00414A96" w:rsidRPr="00C56304" w:rsidRDefault="00414A96" w:rsidP="00EE7C25">
            <w:pPr>
              <w:pStyle w:val="Heading2"/>
              <w:ind w:left="455"/>
              <w:outlineLvl w:val="1"/>
              <w:rPr>
                <w:sz w:val="20"/>
                <w:szCs w:val="20"/>
              </w:rPr>
            </w:pPr>
          </w:p>
        </w:tc>
        <w:tc>
          <w:tcPr>
            <w:tcW w:w="3365" w:type="dxa"/>
          </w:tcPr>
          <w:p w14:paraId="72B28C3E" w14:textId="77777777" w:rsidR="00414A96" w:rsidRPr="00C56304" w:rsidRDefault="00414A96" w:rsidP="00414A96">
            <w:pPr>
              <w:pStyle w:val="NoSpacing"/>
              <w:jc w:val="left"/>
              <w:rPr>
                <w:rFonts w:cs="Arial"/>
                <w:sz w:val="20"/>
                <w:szCs w:val="20"/>
              </w:rPr>
            </w:pPr>
            <w:r w:rsidRPr="00C56304">
              <w:rPr>
                <w:rFonts w:cs="Arial"/>
                <w:sz w:val="20"/>
                <w:szCs w:val="20"/>
              </w:rPr>
              <w:t xml:space="preserve">R. </w:t>
            </w:r>
            <w:r w:rsidRPr="00C56304">
              <w:rPr>
                <w:rFonts w:eastAsia="Times New Roman" w:cs="Arial"/>
                <w:color w:val="000000"/>
                <w:sz w:val="20"/>
                <w:szCs w:val="20"/>
                <w:lang w:eastAsia="en-AU"/>
              </w:rPr>
              <w:t xml:space="preserve">445(3)(b); 461(1)(b)) introduce </w:t>
            </w:r>
            <w:r w:rsidRPr="00C56304">
              <w:rPr>
                <w:rFonts w:cs="Arial"/>
                <w:sz w:val="20"/>
                <w:szCs w:val="20"/>
              </w:rPr>
              <w:t>requirements for health records to be kept for a prescribed period of time after employment has ceased.  These requirements relate to either records of training related to asbestos or health monitoring/surveillance.</w:t>
            </w:r>
          </w:p>
        </w:tc>
        <w:tc>
          <w:tcPr>
            <w:tcW w:w="2962" w:type="dxa"/>
          </w:tcPr>
          <w:p w14:paraId="72B28C3F" w14:textId="77777777" w:rsidR="00414A96" w:rsidRPr="00C56304" w:rsidRDefault="00414A96" w:rsidP="00414A96">
            <w:pPr>
              <w:pStyle w:val="NoSpacing"/>
              <w:jc w:val="left"/>
              <w:rPr>
                <w:rFonts w:cs="Arial"/>
                <w:sz w:val="20"/>
                <w:szCs w:val="20"/>
              </w:rPr>
            </w:pPr>
            <w:r w:rsidRPr="00C56304">
              <w:rPr>
                <w:rFonts w:cs="Arial"/>
                <w:sz w:val="20"/>
                <w:szCs w:val="20"/>
              </w:rPr>
              <w:t>No equivalent.</w:t>
            </w:r>
          </w:p>
        </w:tc>
      </w:tr>
      <w:tr w:rsidR="00414A96" w:rsidRPr="00C56304" w14:paraId="72B28C48" w14:textId="77777777" w:rsidTr="00681605">
        <w:trPr>
          <w:tblHeader/>
        </w:trPr>
        <w:tc>
          <w:tcPr>
            <w:tcW w:w="2962" w:type="dxa"/>
          </w:tcPr>
          <w:p w14:paraId="72B28C41" w14:textId="77777777" w:rsidR="00414A96" w:rsidRPr="00C56304" w:rsidRDefault="00414A96" w:rsidP="00EE7C25">
            <w:pPr>
              <w:pStyle w:val="Heading2"/>
              <w:numPr>
                <w:ilvl w:val="0"/>
                <w:numId w:val="37"/>
              </w:numPr>
              <w:ind w:left="455"/>
              <w:outlineLvl w:val="1"/>
              <w:rPr>
                <w:sz w:val="20"/>
                <w:szCs w:val="20"/>
              </w:rPr>
            </w:pPr>
            <w:bookmarkStart w:id="352" w:name="_Toc451257342"/>
            <w:bookmarkStart w:id="353" w:name="_Toc451422061"/>
            <w:bookmarkStart w:id="354" w:name="_Toc451437274"/>
            <w:bookmarkStart w:id="355" w:name="_Toc4661923"/>
            <w:bookmarkStart w:id="356" w:name="_Toc17104703"/>
            <w:r w:rsidRPr="00C56304">
              <w:rPr>
                <w:sz w:val="20"/>
                <w:szCs w:val="20"/>
              </w:rPr>
              <w:t>Health monitoring records</w:t>
            </w:r>
            <w:bookmarkEnd w:id="352"/>
            <w:bookmarkEnd w:id="353"/>
            <w:bookmarkEnd w:id="354"/>
            <w:bookmarkEnd w:id="355"/>
            <w:bookmarkEnd w:id="356"/>
          </w:p>
          <w:p w14:paraId="72B28C42" w14:textId="77777777" w:rsidR="00414A96" w:rsidRPr="00C56304" w:rsidRDefault="00414A96" w:rsidP="00EE7C25">
            <w:pPr>
              <w:pStyle w:val="Heading2"/>
              <w:ind w:left="455"/>
              <w:outlineLvl w:val="1"/>
              <w:rPr>
                <w:sz w:val="20"/>
                <w:szCs w:val="20"/>
              </w:rPr>
            </w:pPr>
          </w:p>
        </w:tc>
        <w:tc>
          <w:tcPr>
            <w:tcW w:w="3365" w:type="dxa"/>
          </w:tcPr>
          <w:p w14:paraId="72B28C43" w14:textId="77777777" w:rsidR="00414A96" w:rsidRPr="00C56304" w:rsidRDefault="00414A96" w:rsidP="00414A96">
            <w:pPr>
              <w:pStyle w:val="NoSpacing"/>
              <w:jc w:val="left"/>
              <w:rPr>
                <w:rFonts w:cs="Arial"/>
                <w:sz w:val="20"/>
                <w:szCs w:val="20"/>
              </w:rPr>
            </w:pPr>
            <w:r w:rsidRPr="00C56304">
              <w:rPr>
                <w:rFonts w:cs="Arial"/>
                <w:sz w:val="20"/>
                <w:szCs w:val="20"/>
              </w:rPr>
              <w:t xml:space="preserve">Health monitoring (regulations </w:t>
            </w:r>
            <w:r w:rsidRPr="00C56304">
              <w:rPr>
                <w:rFonts w:eastAsia="Times New Roman" w:cs="Arial"/>
                <w:color w:val="000000"/>
                <w:sz w:val="20"/>
                <w:szCs w:val="20"/>
                <w:lang w:eastAsia="en-AU"/>
              </w:rPr>
              <w:t>50,</w:t>
            </w:r>
            <w:r w:rsidRPr="00C56304">
              <w:rPr>
                <w:rFonts w:eastAsia="Times New Roman" w:cs="Arial"/>
                <w:b/>
                <w:color w:val="000000"/>
                <w:sz w:val="20"/>
                <w:szCs w:val="20"/>
                <w:lang w:eastAsia="en-AU"/>
              </w:rPr>
              <w:t xml:space="preserve"> </w:t>
            </w:r>
            <w:r w:rsidRPr="00C56304">
              <w:rPr>
                <w:rFonts w:eastAsia="Times New Roman" w:cs="Arial"/>
                <w:color w:val="000000"/>
                <w:sz w:val="20"/>
                <w:szCs w:val="20"/>
                <w:lang w:eastAsia="en-AU"/>
              </w:rPr>
              <w:t xml:space="preserve">378(1)(b); 388(3); 418(1)(b); 444(1)(b)) </w:t>
            </w:r>
            <w:r w:rsidRPr="00C56304">
              <w:rPr>
                <w:rFonts w:cs="Arial"/>
                <w:sz w:val="20"/>
                <w:szCs w:val="20"/>
              </w:rPr>
              <w:t xml:space="preserve">requires the retention of records by the Person Conducting the Business or Undertaking (PCBU) for 30 years (airborne contaminants, hazardous chemicals, carcinogens, lead) and 40 years (asbestos). </w:t>
            </w:r>
          </w:p>
          <w:p w14:paraId="72B28C44" w14:textId="77777777" w:rsidR="00414A96" w:rsidRPr="00C56304" w:rsidRDefault="00414A96" w:rsidP="00414A96">
            <w:pPr>
              <w:pStyle w:val="NoSpacing"/>
              <w:jc w:val="left"/>
              <w:rPr>
                <w:rFonts w:cs="Arial"/>
                <w:sz w:val="20"/>
                <w:szCs w:val="20"/>
              </w:rPr>
            </w:pPr>
          </w:p>
        </w:tc>
        <w:tc>
          <w:tcPr>
            <w:tcW w:w="2962" w:type="dxa"/>
          </w:tcPr>
          <w:p w14:paraId="72B28C45" w14:textId="77777777" w:rsidR="00414A96" w:rsidRPr="00C56304" w:rsidRDefault="00414A96" w:rsidP="00414A96">
            <w:pPr>
              <w:pStyle w:val="NoSpacing"/>
              <w:jc w:val="left"/>
              <w:rPr>
                <w:rFonts w:eastAsia="Times New Roman" w:cs="Arial"/>
                <w:color w:val="000000"/>
                <w:sz w:val="20"/>
                <w:szCs w:val="20"/>
                <w:lang w:eastAsia="en-AU"/>
              </w:rPr>
            </w:pPr>
            <w:r w:rsidRPr="00C56304">
              <w:rPr>
                <w:rFonts w:eastAsia="Times New Roman" w:cs="Arial"/>
                <w:color w:val="000000"/>
                <w:sz w:val="20"/>
                <w:szCs w:val="20"/>
                <w:lang w:eastAsia="en-AU"/>
              </w:rPr>
              <w:t>r5.24 and r. 5.26:</w:t>
            </w:r>
          </w:p>
          <w:p w14:paraId="72B28C46" w14:textId="51A1FCCE" w:rsidR="00414A96" w:rsidRPr="00C56304" w:rsidRDefault="00B55E73" w:rsidP="00B55E73">
            <w:pPr>
              <w:pStyle w:val="NoSpacing"/>
              <w:numPr>
                <w:ilvl w:val="0"/>
                <w:numId w:val="40"/>
              </w:numPr>
              <w:jc w:val="left"/>
              <w:rPr>
                <w:rFonts w:eastAsia="Times New Roman" w:cs="Arial"/>
                <w:sz w:val="20"/>
                <w:szCs w:val="20"/>
                <w:lang w:eastAsia="en-AU"/>
              </w:rPr>
            </w:pPr>
            <w:r>
              <w:rPr>
                <w:rFonts w:eastAsia="Times New Roman" w:cs="Arial"/>
                <w:color w:val="000000"/>
                <w:sz w:val="20"/>
                <w:szCs w:val="20"/>
                <w:lang w:eastAsia="en-AU"/>
              </w:rPr>
              <w:t>impose the 30-</w:t>
            </w:r>
            <w:r w:rsidR="00414A96" w:rsidRPr="00C56304">
              <w:rPr>
                <w:rFonts w:eastAsia="Times New Roman" w:cs="Arial"/>
                <w:color w:val="000000"/>
                <w:sz w:val="20"/>
                <w:szCs w:val="20"/>
                <w:lang w:eastAsia="en-AU"/>
              </w:rPr>
              <w:t>year requirement on the medical practitioner and the employer respectively; and</w:t>
            </w:r>
          </w:p>
          <w:p w14:paraId="72B28C47" w14:textId="427F3A09" w:rsidR="00414A96" w:rsidRPr="00C56304" w:rsidRDefault="00B55E73" w:rsidP="00B55E73">
            <w:pPr>
              <w:pStyle w:val="NoSpacing"/>
              <w:numPr>
                <w:ilvl w:val="0"/>
                <w:numId w:val="40"/>
              </w:numPr>
              <w:jc w:val="left"/>
              <w:rPr>
                <w:rFonts w:eastAsia="Times New Roman" w:cs="Arial"/>
                <w:sz w:val="20"/>
                <w:szCs w:val="20"/>
                <w:lang w:eastAsia="en-AU"/>
              </w:rPr>
            </w:pPr>
            <w:r>
              <w:rPr>
                <w:rFonts w:eastAsia="Times New Roman" w:cs="Arial"/>
                <w:color w:val="000000"/>
                <w:sz w:val="20"/>
                <w:szCs w:val="20"/>
                <w:lang w:eastAsia="en-AU"/>
              </w:rPr>
              <w:t>h</w:t>
            </w:r>
            <w:r w:rsidR="00414A96" w:rsidRPr="00C56304">
              <w:rPr>
                <w:rFonts w:eastAsia="Times New Roman" w:cs="Arial"/>
                <w:color w:val="000000"/>
                <w:sz w:val="20"/>
                <w:szCs w:val="20"/>
                <w:lang w:eastAsia="en-AU"/>
              </w:rPr>
              <w:t>ealth surveillance reports are to be provided to the WorkSafe Western Australia Commissioner (</w:t>
            </w:r>
            <w:r w:rsidR="00414A96" w:rsidRPr="00C56304">
              <w:rPr>
                <w:rFonts w:eastAsia="Times New Roman" w:cs="Arial"/>
                <w:sz w:val="20"/>
                <w:szCs w:val="20"/>
                <w:lang w:eastAsia="en-AU"/>
              </w:rPr>
              <w:t>the Commissioner)</w:t>
            </w:r>
            <w:r>
              <w:rPr>
                <w:rFonts w:eastAsia="Times New Roman" w:cs="Arial"/>
                <w:sz w:val="20"/>
                <w:szCs w:val="20"/>
                <w:lang w:eastAsia="en-AU"/>
              </w:rPr>
              <w:t>,</w:t>
            </w:r>
            <w:r w:rsidR="00414A96" w:rsidRPr="00C56304">
              <w:rPr>
                <w:rFonts w:eastAsia="Times New Roman" w:cs="Arial"/>
                <w:sz w:val="20"/>
                <w:szCs w:val="20"/>
                <w:lang w:eastAsia="en-AU"/>
              </w:rPr>
              <w:t xml:space="preserve"> should the doctor cease practicing or the business cease operating.  </w:t>
            </w:r>
          </w:p>
        </w:tc>
      </w:tr>
    </w:tbl>
    <w:p w14:paraId="72B28C49" w14:textId="77777777" w:rsidR="00562632" w:rsidRPr="00C56304" w:rsidRDefault="00562632" w:rsidP="00562632">
      <w:pPr>
        <w:rPr>
          <w:sz w:val="20"/>
          <w:szCs w:val="20"/>
        </w:rPr>
      </w:pPr>
    </w:p>
    <w:p w14:paraId="72B28C4A" w14:textId="77777777" w:rsidR="005823D1" w:rsidRPr="00C56304" w:rsidRDefault="005823D1" w:rsidP="00C56304">
      <w:pPr>
        <w:pStyle w:val="BodyText"/>
        <w:rPr>
          <w:sz w:val="20"/>
          <w:szCs w:val="20"/>
        </w:rPr>
      </w:pPr>
    </w:p>
    <w:p w14:paraId="5D57ADFB" w14:textId="375C5CBD" w:rsidR="004411C8" w:rsidRPr="00746E21" w:rsidRDefault="004411C8" w:rsidP="00746E21">
      <w:pPr>
        <w:pStyle w:val="Heading1"/>
      </w:pPr>
      <w:bookmarkStart w:id="357" w:name="_Toc15303554"/>
      <w:bookmarkStart w:id="358" w:name="_Toc17104704"/>
      <w:r w:rsidRPr="00746E21">
        <w:t>Glossary</w:t>
      </w:r>
      <w:bookmarkEnd w:id="357"/>
      <w:bookmarkEnd w:id="358"/>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750"/>
      </w:tblGrid>
      <w:tr w:rsidR="004411C8" w:rsidRPr="004411C8" w14:paraId="752FB721" w14:textId="77777777" w:rsidTr="004411C8">
        <w:trPr>
          <w:trHeight w:val="599"/>
        </w:trPr>
        <w:tc>
          <w:tcPr>
            <w:tcW w:w="3544" w:type="dxa"/>
          </w:tcPr>
          <w:p w14:paraId="1486D0C0" w14:textId="77777777" w:rsidR="004411C8" w:rsidRPr="004411C8" w:rsidRDefault="004411C8" w:rsidP="006B7E10">
            <w:pPr>
              <w:rPr>
                <w:rFonts w:ascii="Arial" w:hAnsi="Arial" w:cs="Arial"/>
                <w:color w:val="000000"/>
              </w:rPr>
            </w:pPr>
            <w:r w:rsidRPr="004411C8">
              <w:rPr>
                <w:rFonts w:ascii="Arial" w:hAnsi="Arial" w:cs="Arial"/>
                <w:color w:val="000000"/>
              </w:rPr>
              <w:t xml:space="preserve">Commission </w:t>
            </w:r>
          </w:p>
        </w:tc>
        <w:tc>
          <w:tcPr>
            <w:tcW w:w="5750" w:type="dxa"/>
          </w:tcPr>
          <w:p w14:paraId="13030050" w14:textId="77777777" w:rsidR="004411C8" w:rsidRPr="004411C8" w:rsidRDefault="004411C8" w:rsidP="006B7E10">
            <w:pPr>
              <w:rPr>
                <w:rFonts w:ascii="Arial" w:hAnsi="Arial" w:cs="Arial"/>
                <w:color w:val="000000"/>
              </w:rPr>
            </w:pPr>
            <w:r w:rsidRPr="004411C8">
              <w:rPr>
                <w:rFonts w:ascii="Arial" w:hAnsi="Arial" w:cs="Arial"/>
                <w:color w:val="000000"/>
              </w:rPr>
              <w:t>Commission for Occupational Safety and Health</w:t>
            </w:r>
          </w:p>
        </w:tc>
      </w:tr>
      <w:tr w:rsidR="004411C8" w:rsidRPr="004411C8" w14:paraId="7E06CFE0" w14:textId="77777777" w:rsidTr="004411C8">
        <w:tc>
          <w:tcPr>
            <w:tcW w:w="3544" w:type="dxa"/>
          </w:tcPr>
          <w:p w14:paraId="4291646D" w14:textId="77777777" w:rsidR="004411C8" w:rsidRPr="004411C8" w:rsidRDefault="004411C8" w:rsidP="006B7E10">
            <w:pPr>
              <w:rPr>
                <w:rFonts w:ascii="Arial" w:hAnsi="Arial" w:cs="Arial"/>
              </w:rPr>
            </w:pPr>
            <w:r w:rsidRPr="004411C8">
              <w:rPr>
                <w:rFonts w:ascii="Arial" w:hAnsi="Arial" w:cs="Arial"/>
              </w:rPr>
              <w:t>DMIRS</w:t>
            </w:r>
          </w:p>
        </w:tc>
        <w:tc>
          <w:tcPr>
            <w:tcW w:w="5750" w:type="dxa"/>
          </w:tcPr>
          <w:p w14:paraId="066C1021" w14:textId="77777777" w:rsidR="004411C8" w:rsidRDefault="004411C8" w:rsidP="006B7E10">
            <w:pPr>
              <w:rPr>
                <w:rFonts w:ascii="Arial" w:hAnsi="Arial" w:cs="Arial"/>
              </w:rPr>
            </w:pPr>
            <w:r w:rsidRPr="004411C8">
              <w:rPr>
                <w:rFonts w:ascii="Arial" w:hAnsi="Arial" w:cs="Arial"/>
              </w:rPr>
              <w:t>Department of Mines, Industry Regulation and Safety</w:t>
            </w:r>
          </w:p>
          <w:p w14:paraId="5EC671C1" w14:textId="7256C90E" w:rsidR="002A7B30" w:rsidRPr="004411C8" w:rsidRDefault="002A7B30" w:rsidP="006B7E10">
            <w:pPr>
              <w:rPr>
                <w:rFonts w:ascii="Arial" w:hAnsi="Arial" w:cs="Arial"/>
              </w:rPr>
            </w:pPr>
          </w:p>
        </w:tc>
      </w:tr>
      <w:tr w:rsidR="004411C8" w:rsidRPr="004411C8" w14:paraId="690401EC" w14:textId="77777777" w:rsidTr="004411C8">
        <w:tc>
          <w:tcPr>
            <w:tcW w:w="3544" w:type="dxa"/>
          </w:tcPr>
          <w:p w14:paraId="6661D19D" w14:textId="77777777" w:rsidR="004411C8" w:rsidRPr="004411C8" w:rsidRDefault="004411C8" w:rsidP="006B7E10">
            <w:pPr>
              <w:rPr>
                <w:rFonts w:ascii="Arial" w:hAnsi="Arial" w:cs="Arial"/>
                <w:color w:val="FF0000"/>
              </w:rPr>
            </w:pPr>
            <w:r w:rsidRPr="004411C8">
              <w:rPr>
                <w:rFonts w:ascii="Arial" w:hAnsi="Arial" w:cs="Arial"/>
              </w:rPr>
              <w:t>model WHS regulations</w:t>
            </w:r>
            <w:r w:rsidRPr="004411C8">
              <w:rPr>
                <w:rFonts w:ascii="Arial" w:hAnsi="Arial" w:cs="Arial"/>
                <w:color w:val="FF0000"/>
              </w:rPr>
              <w:t xml:space="preserve"> </w:t>
            </w:r>
          </w:p>
        </w:tc>
        <w:tc>
          <w:tcPr>
            <w:tcW w:w="5750" w:type="dxa"/>
          </w:tcPr>
          <w:p w14:paraId="179E069D" w14:textId="7F9D1EFC" w:rsidR="004411C8" w:rsidRPr="00A07CF9" w:rsidRDefault="004411C8" w:rsidP="006B7E10">
            <w:pPr>
              <w:rPr>
                <w:rFonts w:ascii="Arial" w:hAnsi="Arial" w:cs="Arial"/>
                <w:color w:val="000000" w:themeColor="text1"/>
              </w:rPr>
            </w:pPr>
            <w:r w:rsidRPr="00A07CF9">
              <w:rPr>
                <w:rFonts w:ascii="Arial" w:hAnsi="Arial" w:cs="Arial"/>
                <w:color w:val="000000" w:themeColor="text1"/>
              </w:rPr>
              <w:t>15 January 2019</w:t>
            </w:r>
            <w:r w:rsidR="00376622">
              <w:rPr>
                <w:rFonts w:ascii="Arial" w:hAnsi="Arial" w:cs="Arial"/>
                <w:color w:val="000000" w:themeColor="text1"/>
              </w:rPr>
              <w:t>s</w:t>
            </w:r>
            <w:r w:rsidRPr="00A07CF9">
              <w:rPr>
                <w:rFonts w:ascii="Arial" w:hAnsi="Arial" w:cs="Arial"/>
                <w:color w:val="000000" w:themeColor="text1"/>
              </w:rPr>
              <w:t xml:space="preserve"> national model Work Health and Safety Regulations  </w:t>
            </w:r>
          </w:p>
          <w:p w14:paraId="51B35D02" w14:textId="4F4B5238" w:rsidR="002A7B30" w:rsidRPr="00A07CF9" w:rsidRDefault="002A7B30" w:rsidP="006B7E10">
            <w:pPr>
              <w:rPr>
                <w:rFonts w:ascii="Arial" w:hAnsi="Arial" w:cs="Arial"/>
                <w:color w:val="000000" w:themeColor="text1"/>
              </w:rPr>
            </w:pPr>
          </w:p>
        </w:tc>
      </w:tr>
      <w:tr w:rsidR="004411C8" w:rsidRPr="004411C8" w14:paraId="5EF5F31C" w14:textId="77777777" w:rsidTr="004411C8">
        <w:trPr>
          <w:trHeight w:val="594"/>
        </w:trPr>
        <w:tc>
          <w:tcPr>
            <w:tcW w:w="3544" w:type="dxa"/>
          </w:tcPr>
          <w:p w14:paraId="59CA9FA9" w14:textId="77777777" w:rsidR="004411C8" w:rsidRPr="004411C8" w:rsidRDefault="004411C8" w:rsidP="006B7E10">
            <w:pPr>
              <w:rPr>
                <w:rFonts w:ascii="Arial" w:hAnsi="Arial" w:cs="Arial"/>
              </w:rPr>
            </w:pPr>
            <w:r w:rsidRPr="004411C8">
              <w:rPr>
                <w:rFonts w:ascii="Arial" w:hAnsi="Arial" w:cs="Arial"/>
              </w:rPr>
              <w:t xml:space="preserve">OSH regulations </w:t>
            </w:r>
          </w:p>
        </w:tc>
        <w:tc>
          <w:tcPr>
            <w:tcW w:w="5750" w:type="dxa"/>
          </w:tcPr>
          <w:p w14:paraId="4D5C09EF" w14:textId="77777777" w:rsidR="004411C8" w:rsidRPr="00A07CF9" w:rsidRDefault="004411C8" w:rsidP="006B7E10">
            <w:pPr>
              <w:rPr>
                <w:rFonts w:ascii="Arial" w:hAnsi="Arial" w:cs="Arial"/>
                <w:color w:val="000000" w:themeColor="text1"/>
              </w:rPr>
            </w:pPr>
            <w:r w:rsidRPr="00A07CF9">
              <w:rPr>
                <w:rFonts w:ascii="Arial" w:hAnsi="Arial" w:cs="Arial"/>
                <w:color w:val="000000" w:themeColor="text1"/>
              </w:rPr>
              <w:t>Occupational Safety and Health Regulations 1996</w:t>
            </w:r>
          </w:p>
        </w:tc>
      </w:tr>
      <w:tr w:rsidR="004411C8" w:rsidRPr="004411C8" w14:paraId="6D0C233F" w14:textId="77777777" w:rsidTr="004411C8">
        <w:tc>
          <w:tcPr>
            <w:tcW w:w="3544" w:type="dxa"/>
          </w:tcPr>
          <w:p w14:paraId="1C7C587C" w14:textId="77777777" w:rsidR="004411C8" w:rsidRPr="004411C8" w:rsidRDefault="004411C8" w:rsidP="006B7E10">
            <w:pPr>
              <w:rPr>
                <w:rFonts w:ascii="Arial" w:hAnsi="Arial" w:cs="Arial"/>
              </w:rPr>
            </w:pPr>
            <w:r w:rsidRPr="004411C8">
              <w:rPr>
                <w:rFonts w:ascii="Arial" w:hAnsi="Arial" w:cs="Arial"/>
              </w:rPr>
              <w:t xml:space="preserve">WA WHS regulations </w:t>
            </w:r>
          </w:p>
        </w:tc>
        <w:tc>
          <w:tcPr>
            <w:tcW w:w="5750" w:type="dxa"/>
          </w:tcPr>
          <w:p w14:paraId="695B4252" w14:textId="77777777" w:rsidR="004411C8" w:rsidRPr="00A07CF9" w:rsidRDefault="004411C8" w:rsidP="006B7E10">
            <w:pPr>
              <w:rPr>
                <w:rFonts w:ascii="Arial" w:hAnsi="Arial" w:cs="Arial"/>
                <w:color w:val="000000" w:themeColor="text1"/>
              </w:rPr>
            </w:pPr>
            <w:r w:rsidRPr="00A07CF9">
              <w:rPr>
                <w:rFonts w:ascii="Arial" w:hAnsi="Arial" w:cs="Arial"/>
                <w:color w:val="000000" w:themeColor="text1"/>
              </w:rPr>
              <w:t>Western Australian Work Health and Safety regulations</w:t>
            </w:r>
          </w:p>
        </w:tc>
      </w:tr>
      <w:tr w:rsidR="004411C8" w:rsidRPr="004411C8" w14:paraId="5DA0F6D2" w14:textId="77777777" w:rsidTr="004411C8">
        <w:tc>
          <w:tcPr>
            <w:tcW w:w="3544" w:type="dxa"/>
          </w:tcPr>
          <w:p w14:paraId="05B11177" w14:textId="77777777" w:rsidR="004411C8" w:rsidRPr="004411C8" w:rsidRDefault="004411C8" w:rsidP="006B7E10">
            <w:pPr>
              <w:pStyle w:val="NoSpacing"/>
              <w:rPr>
                <w:rFonts w:eastAsiaTheme="majorEastAsia" w:cs="Arial"/>
                <w:color w:val="FF0000"/>
                <w:szCs w:val="24"/>
              </w:rPr>
            </w:pPr>
            <w:r w:rsidRPr="00A07CF9">
              <w:rPr>
                <w:rFonts w:eastAsiaTheme="majorEastAsia" w:cs="Arial"/>
                <w:color w:val="000000" w:themeColor="text1"/>
                <w:szCs w:val="24"/>
              </w:rPr>
              <w:t>WHS</w:t>
            </w:r>
          </w:p>
        </w:tc>
        <w:tc>
          <w:tcPr>
            <w:tcW w:w="5750" w:type="dxa"/>
          </w:tcPr>
          <w:p w14:paraId="74F7B328" w14:textId="695B8612" w:rsidR="004411C8" w:rsidRPr="00A07CF9" w:rsidRDefault="004411C8" w:rsidP="006B7E10">
            <w:pPr>
              <w:pStyle w:val="NoSpacing"/>
              <w:rPr>
                <w:rFonts w:cs="Arial"/>
                <w:color w:val="000000" w:themeColor="text1"/>
                <w:szCs w:val="24"/>
              </w:rPr>
            </w:pPr>
            <w:r w:rsidRPr="00A07CF9">
              <w:rPr>
                <w:rFonts w:eastAsiaTheme="majorEastAsia" w:cs="Arial"/>
                <w:color w:val="000000" w:themeColor="text1"/>
                <w:szCs w:val="24"/>
              </w:rPr>
              <w:t>Work Health and Safety</w:t>
            </w:r>
          </w:p>
        </w:tc>
      </w:tr>
    </w:tbl>
    <w:p w14:paraId="72B28C4D" w14:textId="4C11CB71" w:rsidR="00F42B9C" w:rsidRPr="00C56304" w:rsidRDefault="00F42B9C" w:rsidP="00746E21">
      <w:pPr>
        <w:pStyle w:val="BodyText"/>
        <w:rPr>
          <w:sz w:val="20"/>
          <w:szCs w:val="20"/>
        </w:rPr>
      </w:pPr>
    </w:p>
    <w:sectPr w:rsidR="00F42B9C" w:rsidRPr="00C56304" w:rsidSect="00CB5139">
      <w:headerReference w:type="even" r:id="rId28"/>
      <w:headerReference w:type="default" r:id="rId29"/>
      <w:footerReference w:type="even" r:id="rId30"/>
      <w:footerReference w:type="default" r:id="rId31"/>
      <w:headerReference w:type="first" r:id="rId32"/>
      <w:footerReference w:type="first" r:id="rId33"/>
      <w:pgSz w:w="11907" w:h="16840" w:code="9"/>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844C6" w14:textId="77777777" w:rsidR="00461F99" w:rsidRDefault="00461F99" w:rsidP="00A4382C">
      <w:pPr>
        <w:spacing w:line="240" w:lineRule="auto"/>
      </w:pPr>
      <w:r>
        <w:separator/>
      </w:r>
    </w:p>
  </w:endnote>
  <w:endnote w:type="continuationSeparator" w:id="0">
    <w:p w14:paraId="2DC3F98F" w14:textId="77777777" w:rsidR="00461F99" w:rsidRDefault="00461F99" w:rsidP="00A438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28C54" w14:textId="77777777" w:rsidR="008859DC" w:rsidRDefault="008859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28C55" w14:textId="29B7B484" w:rsidR="008859DC" w:rsidRPr="00674200" w:rsidRDefault="008859DC" w:rsidP="00ED1616">
    <w:pPr>
      <w:pStyle w:val="Footer"/>
      <w:framePr w:w="567" w:wrap="around" w:vAnchor="page" w:hAnchor="page" w:x="10741" w:y="15586"/>
      <w:jc w:val="right"/>
      <w:rPr>
        <w:rStyle w:val="PageNumber"/>
        <w:rFonts w:cstheme="minorHAnsi"/>
        <w:sz w:val="30"/>
      </w:rPr>
    </w:pPr>
    <w:r w:rsidRPr="00674200">
      <w:rPr>
        <w:rStyle w:val="PageNumber"/>
        <w:rFonts w:cstheme="minorHAnsi"/>
        <w:sz w:val="30"/>
      </w:rPr>
      <w:fldChar w:fldCharType="begin"/>
    </w:r>
    <w:r w:rsidRPr="00674200">
      <w:rPr>
        <w:rStyle w:val="PageNumber"/>
        <w:rFonts w:cstheme="minorHAnsi"/>
        <w:sz w:val="30"/>
      </w:rPr>
      <w:instrText xml:space="preserve">PAGE  </w:instrText>
    </w:r>
    <w:r w:rsidRPr="00674200">
      <w:rPr>
        <w:rStyle w:val="PageNumber"/>
        <w:rFonts w:cstheme="minorHAnsi"/>
        <w:sz w:val="30"/>
      </w:rPr>
      <w:fldChar w:fldCharType="separate"/>
    </w:r>
    <w:r>
      <w:rPr>
        <w:rStyle w:val="PageNumber"/>
        <w:rFonts w:cstheme="minorHAnsi"/>
        <w:noProof/>
        <w:sz w:val="30"/>
      </w:rPr>
      <w:t>1</w:t>
    </w:r>
    <w:r w:rsidRPr="00674200">
      <w:rPr>
        <w:rStyle w:val="PageNumber"/>
        <w:rFonts w:cstheme="minorHAnsi"/>
        <w:sz w:val="30"/>
      </w:rPr>
      <w:fldChar w:fldCharType="end"/>
    </w:r>
  </w:p>
  <w:p w14:paraId="72B28C56" w14:textId="77777777" w:rsidR="008859DC" w:rsidRDefault="008859DC">
    <w:pPr>
      <w:pStyle w:val="Footer"/>
    </w:pPr>
    <w:r>
      <w:rPr>
        <w:noProof/>
        <w:color w:val="385479"/>
        <w:sz w:val="14"/>
        <w:szCs w:val="14"/>
        <w:lang w:eastAsia="en-AU"/>
      </w:rPr>
      <mc:AlternateContent>
        <mc:Choice Requires="wps">
          <w:drawing>
            <wp:anchor distT="0" distB="0" distL="114300" distR="114300" simplePos="0" relativeHeight="251659264" behindDoc="1" locked="0" layoutInCell="1" allowOverlap="1" wp14:anchorId="72B28C62" wp14:editId="72B28C63">
              <wp:simplePos x="0" y="0"/>
              <wp:positionH relativeFrom="page">
                <wp:posOffset>567055</wp:posOffset>
              </wp:positionH>
              <wp:positionV relativeFrom="page">
                <wp:posOffset>10146030</wp:posOffset>
              </wp:positionV>
              <wp:extent cx="6629400" cy="71755"/>
              <wp:effectExtent l="0" t="0" r="0" b="44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71755"/>
                      </a:xfrm>
                      <a:prstGeom prst="rect">
                        <a:avLst/>
                      </a:prstGeom>
                      <a:solidFill>
                        <a:srgbClr val="561B1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B28C68" w14:textId="77777777" w:rsidR="008859DC" w:rsidRPr="00DC67BB" w:rsidRDefault="008859DC" w:rsidP="00ED1616">
                          <w:pPr>
                            <w:pStyle w:val="Footer"/>
                            <w:jc w:val="right"/>
                            <w:rPr>
                              <w:rStyle w:val="PageNumber"/>
                              <w:rFonts w:ascii="Trebuchet MS" w:hAnsi="Trebuchet MS"/>
                              <w:sz w:val="30"/>
                            </w:rPr>
                          </w:pPr>
                          <w:r w:rsidRPr="00DC67BB">
                            <w:rPr>
                              <w:rStyle w:val="PageNumber"/>
                              <w:sz w:val="30"/>
                            </w:rPr>
                            <w:fldChar w:fldCharType="begin"/>
                          </w:r>
                          <w:r w:rsidRPr="00DC67BB">
                            <w:rPr>
                              <w:rStyle w:val="PageNumber"/>
                              <w:rFonts w:ascii="Trebuchet MS" w:hAnsi="Trebuchet MS"/>
                              <w:sz w:val="30"/>
                            </w:rPr>
                            <w:instrText xml:space="preserve">PAGE  </w:instrText>
                          </w:r>
                          <w:r w:rsidRPr="00DC67BB">
                            <w:rPr>
                              <w:rStyle w:val="PageNumber"/>
                              <w:sz w:val="30"/>
                            </w:rPr>
                            <w:fldChar w:fldCharType="separate"/>
                          </w:r>
                          <w:r>
                            <w:rPr>
                              <w:rStyle w:val="PageNumber"/>
                              <w:rFonts w:ascii="Trebuchet MS" w:hAnsi="Trebuchet MS"/>
                              <w:noProof/>
                              <w:sz w:val="30"/>
                            </w:rPr>
                            <w:t>2</w:t>
                          </w:r>
                          <w:r w:rsidRPr="00DC67BB">
                            <w:rPr>
                              <w:rStyle w:val="PageNumber"/>
                              <w:sz w:val="3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28C62" id="Rectangle 3" o:spid="_x0000_s1026" style="position:absolute;margin-left:44.65pt;margin-top:798.9pt;width:522pt;height:5.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" fillcolor="#561b17" stroked="f">
              <v:textbox>
                <w:txbxContent>
                  <w:p w14:paraId="72B28C68" w14:textId="77777777" w:rsidR="008859DC" w:rsidRPr="00DC67BB" w:rsidRDefault="008859DC" w:rsidP="00ED1616">
                    <w:pPr>
                      <w:pStyle w:val="Footer"/>
                      <w:jc w:val="right"/>
                      <w:rPr>
                        <w:rStyle w:val="PageNumber"/>
                        <w:rFonts w:ascii="Trebuchet MS" w:hAnsi="Trebuchet MS"/>
                        <w:sz w:val="30"/>
                      </w:rPr>
                    </w:pPr>
                    <w:r w:rsidRPr="00DC67BB">
                      <w:rPr>
                        <w:rStyle w:val="PageNumber"/>
                        <w:sz w:val="30"/>
                      </w:rPr>
                      <w:fldChar w:fldCharType="begin"/>
                    </w:r>
                    <w:r w:rsidRPr="00DC67BB">
                      <w:rPr>
                        <w:rStyle w:val="PageNumber"/>
                        <w:rFonts w:ascii="Trebuchet MS" w:hAnsi="Trebuchet MS"/>
                        <w:sz w:val="30"/>
                      </w:rPr>
                      <w:instrText xml:space="preserve">PAGE  </w:instrText>
                    </w:r>
                    <w:r w:rsidRPr="00DC67BB">
                      <w:rPr>
                        <w:rStyle w:val="PageNumber"/>
                        <w:sz w:val="30"/>
                      </w:rPr>
                      <w:fldChar w:fldCharType="separate"/>
                    </w:r>
                    <w:r>
                      <w:rPr>
                        <w:rStyle w:val="PageNumber"/>
                        <w:rFonts w:ascii="Trebuchet MS" w:hAnsi="Trebuchet MS"/>
                        <w:noProof/>
                        <w:sz w:val="30"/>
                      </w:rPr>
                      <w:t>2</w:t>
                    </w:r>
                    <w:r w:rsidRPr="00DC67BB">
                      <w:rPr>
                        <w:rStyle w:val="PageNumber"/>
                        <w:sz w:val="30"/>
                      </w:rPr>
                      <w:fldChar w:fldCharType="end"/>
                    </w: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28C58" w14:textId="77777777" w:rsidR="008859DC" w:rsidRDefault="008859DC" w:rsidP="00ED1616">
    <w:pPr>
      <w:pStyle w:val="Footer"/>
      <w:ind w:right="-578"/>
    </w:pPr>
    <w:r>
      <w:rPr>
        <w:noProof/>
        <w:lang w:eastAsia="en-AU"/>
      </w:rPr>
      <w:drawing>
        <wp:inline distT="0" distB="0" distL="0" distR="0" wp14:anchorId="72B28C66" wp14:editId="72B28C67">
          <wp:extent cx="6840855" cy="546165"/>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cy_cover_footer.jpg"/>
                  <pic:cNvPicPr/>
                </pic:nvPicPr>
                <pic:blipFill>
                  <a:blip r:embed="rId1">
                    <a:extLst>
                      <a:ext uri="{28A0092B-C50C-407E-A947-70E740481C1C}">
                        <a14:useLocalDpi xmlns:a14="http://schemas.microsoft.com/office/drawing/2010/main" val="0"/>
                      </a:ext>
                    </a:extLst>
                  </a:blip>
                  <a:stretch>
                    <a:fillRect/>
                  </a:stretch>
                </pic:blipFill>
                <pic:spPr>
                  <a:xfrm>
                    <a:off x="0" y="0"/>
                    <a:ext cx="6840855" cy="546165"/>
                  </a:xfrm>
                  <a:prstGeom prst="rect">
                    <a:avLst/>
                  </a:prstGeom>
                </pic:spPr>
              </pic:pic>
            </a:graphicData>
          </a:graphic>
        </wp:inline>
      </w:drawing>
    </w:r>
  </w:p>
  <w:p w14:paraId="72B28C59" w14:textId="77777777" w:rsidR="008859DC" w:rsidRDefault="008859DC" w:rsidP="00ED1616">
    <w:pPr>
      <w:pStyle w:val="Footer"/>
      <w:ind w:right="-578"/>
    </w:pPr>
  </w:p>
  <w:p w14:paraId="72B28C5A" w14:textId="77777777" w:rsidR="008859DC" w:rsidRDefault="008859DC" w:rsidP="00ED1616">
    <w:pPr>
      <w:pStyle w:val="Footer"/>
      <w:ind w:right="-57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28C5D" w14:textId="77777777" w:rsidR="008859DC" w:rsidRDefault="008859D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28C5E" w14:textId="77777777" w:rsidR="008859DC" w:rsidRPr="001A209E" w:rsidRDefault="008859DC" w:rsidP="001A209E">
    <w:pPr>
      <w:pStyle w:val="Footer"/>
      <w:rPr>
        <w:szCs w:val="16"/>
      </w:rPr>
    </w:pPr>
    <w:r w:rsidRPr="001A209E">
      <w:rPr>
        <w:szCs w:val="16"/>
      </w:rPr>
      <w:t xml:space="preserve">Differences between the National Model Work Health and Safety Regulations and the </w:t>
    </w:r>
  </w:p>
  <w:p w14:paraId="72B28C5F" w14:textId="0B9DC020" w:rsidR="008859DC" w:rsidRPr="001A209E" w:rsidRDefault="008859DC" w:rsidP="001A209E">
    <w:pPr>
      <w:pStyle w:val="Footer"/>
      <w:ind w:right="-57"/>
    </w:pPr>
    <w:r w:rsidRPr="001A209E">
      <w:rPr>
        <w:szCs w:val="16"/>
      </w:rPr>
      <w:t>Occupational Safety and Health Regulations 1996</w:t>
    </w:r>
    <w:r>
      <w:rPr>
        <w:szCs w:val="16"/>
      </w:rPr>
      <w:tab/>
    </w:r>
    <w:r>
      <w:rPr>
        <w:szCs w:val="16"/>
      </w:rPr>
      <w:tab/>
    </w:r>
    <w:r>
      <w:rPr>
        <w:szCs w:val="16"/>
      </w:rPr>
      <w:tab/>
    </w:r>
    <w:r>
      <w:rPr>
        <w:szCs w:val="16"/>
      </w:rPr>
      <w:tab/>
    </w:r>
    <w:r>
      <w:rPr>
        <w:szCs w:val="16"/>
      </w:rPr>
      <w:tab/>
    </w:r>
    <w:r>
      <w:rPr>
        <w:szCs w:val="16"/>
      </w:rPr>
      <w:tab/>
    </w:r>
    <w:r>
      <w:rPr>
        <w:szCs w:val="16"/>
      </w:rPr>
      <w:tab/>
    </w:r>
    <w:r>
      <w:rPr>
        <w:szCs w:val="16"/>
      </w:rPr>
      <w:tab/>
      <w:t xml:space="preserve">Page </w:t>
    </w:r>
    <w:r>
      <w:rPr>
        <w:szCs w:val="16"/>
      </w:rPr>
      <w:fldChar w:fldCharType="begin"/>
    </w:r>
    <w:r>
      <w:rPr>
        <w:szCs w:val="16"/>
      </w:rPr>
      <w:instrText xml:space="preserve"> PAGE </w:instrText>
    </w:r>
    <w:r>
      <w:rPr>
        <w:szCs w:val="16"/>
      </w:rPr>
      <w:fldChar w:fldCharType="separate"/>
    </w:r>
    <w:r w:rsidR="00355E48">
      <w:rPr>
        <w:noProof/>
        <w:szCs w:val="16"/>
      </w:rPr>
      <w:t>8</w:t>
    </w:r>
    <w:r>
      <w:rPr>
        <w:szCs w:val="16"/>
      </w:rPr>
      <w:fldChar w:fldCharType="end"/>
    </w:r>
    <w:r>
      <w:rPr>
        <w:szCs w:val="16"/>
      </w:rPr>
      <w:t xml:space="preserve"> of </w:t>
    </w:r>
    <w:r>
      <w:rPr>
        <w:szCs w:val="16"/>
      </w:rPr>
      <w:fldChar w:fldCharType="begin"/>
    </w:r>
    <w:r>
      <w:rPr>
        <w:szCs w:val="16"/>
      </w:rPr>
      <w:instrText xml:space="preserve"> NUMPAGES </w:instrText>
    </w:r>
    <w:r>
      <w:rPr>
        <w:szCs w:val="16"/>
      </w:rPr>
      <w:fldChar w:fldCharType="separate"/>
    </w:r>
    <w:r w:rsidR="00355E48">
      <w:rPr>
        <w:noProof/>
        <w:szCs w:val="16"/>
      </w:rPr>
      <w:t>34</w:t>
    </w:r>
    <w:r>
      <w:rPr>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28C61" w14:textId="2B5B986F" w:rsidR="008859DC" w:rsidRPr="0075253D" w:rsidRDefault="008859DC" w:rsidP="0075253D">
    <w:pPr>
      <w:pStyle w:val="Footer"/>
      <w:rPr>
        <w:szCs w:val="16"/>
      </w:rPr>
    </w:pPr>
    <w:r>
      <w:rPr>
        <w:szCs w:val="16"/>
      </w:rPr>
      <w:fldChar w:fldCharType="begin"/>
    </w:r>
    <w:r>
      <w:rPr>
        <w:szCs w:val="16"/>
      </w:rPr>
      <w:instrText xml:space="preserve"> FILENAME</w:instrText>
    </w:r>
    <w:r>
      <w:rPr>
        <w:szCs w:val="16"/>
      </w:rPr>
      <w:fldChar w:fldCharType="separate"/>
    </w:r>
    <w:r>
      <w:rPr>
        <w:noProof/>
        <w:szCs w:val="16"/>
      </w:rPr>
      <w:t>Document4</w:t>
    </w:r>
    <w:r>
      <w:rPr>
        <w:szCs w:val="16"/>
      </w:rPr>
      <w:fldChar w:fldCharType="end"/>
    </w:r>
    <w:r>
      <w:rPr>
        <w:szCs w:val="16"/>
      </w:rPr>
      <w:ptab w:relativeTo="margin" w:alignment="center" w:leader="none"/>
    </w:r>
    <w:r>
      <w:rPr>
        <w:szCs w:val="16"/>
      </w:rPr>
      <w:t xml:space="preserve">Page </w:t>
    </w:r>
    <w:r>
      <w:rPr>
        <w:szCs w:val="16"/>
      </w:rPr>
      <w:fldChar w:fldCharType="begin"/>
    </w:r>
    <w:r>
      <w:rPr>
        <w:szCs w:val="16"/>
      </w:rPr>
      <w:instrText xml:space="preserve"> PAGE </w:instrText>
    </w:r>
    <w:r>
      <w:rPr>
        <w:szCs w:val="16"/>
      </w:rPr>
      <w:fldChar w:fldCharType="separate"/>
    </w:r>
    <w:r>
      <w:rPr>
        <w:noProof/>
        <w:szCs w:val="16"/>
      </w:rPr>
      <w:t>1</w:t>
    </w:r>
    <w:r>
      <w:rPr>
        <w:szCs w:val="16"/>
      </w:rPr>
      <w:fldChar w:fldCharType="end"/>
    </w:r>
    <w:r>
      <w:rPr>
        <w:szCs w:val="16"/>
      </w:rPr>
      <w:t xml:space="preserve"> of </w:t>
    </w:r>
    <w:r>
      <w:rPr>
        <w:szCs w:val="16"/>
      </w:rPr>
      <w:fldChar w:fldCharType="begin"/>
    </w:r>
    <w:r>
      <w:rPr>
        <w:szCs w:val="16"/>
      </w:rPr>
      <w:instrText xml:space="preserve"> NUMPAGES </w:instrText>
    </w:r>
    <w:r>
      <w:rPr>
        <w:szCs w:val="16"/>
      </w:rPr>
      <w:fldChar w:fldCharType="separate"/>
    </w:r>
    <w:r>
      <w:rPr>
        <w:noProof/>
        <w:szCs w:val="16"/>
      </w:rPr>
      <w:t>3</w:t>
    </w:r>
    <w:r>
      <w:rPr>
        <w:szCs w:val="16"/>
      </w:rPr>
      <w:fldChar w:fldCharType="end"/>
    </w:r>
    <w:r>
      <w:rPr>
        <w:szCs w:val="16"/>
      </w:rPr>
      <w:tab/>
      <w:t xml:space="preserve"> </w:t>
    </w:r>
    <w:r>
      <w:rPr>
        <w:szCs w:val="16"/>
      </w:rPr>
      <w:ptab w:relativeTo="margin" w:alignment="right" w:leader="none"/>
    </w:r>
    <w:r>
      <w:rPr>
        <w:szCs w:val="16"/>
      </w:rPr>
      <w:t xml:space="preserve">Release Classification: </w:t>
    </w:r>
    <w:r>
      <w:rPr>
        <w:snapToGrid w:val="0"/>
        <w:szCs w:val="16"/>
      </w:rPr>
      <w:t xml:space="preserve">- </w:t>
    </w:r>
    <w:sdt>
      <w:sdtPr>
        <w:rPr>
          <w:snapToGrid w:val="0"/>
          <w:szCs w:val="16"/>
        </w:rPr>
        <w:alias w:val="ReleaseClassification"/>
        <w:tag w:val="OurDocsReleaseClassification"/>
        <w:id w:val="-2082586955"/>
        <w:dataBinding w:prefixMappings="xmlns:ns0='http://schemas.microsoft.com/office/2006/metadata/properties' xmlns:ns1='http://www.w3.org/2001/XMLSchema-instance' xmlns:ns2='http://schemas.microsoft.com/office/infopath/2007/PartnerControls' xmlns:ns3='dce3ed02-b0cd-470d-9119-e5f1a2533a21' " w:xpath="/ns0:properties[1]/documentManagement[1]/ns3:OurDocsReleaseClassification[1]" w:storeItemID="{05D0ADC5-CA70-492B-ADE4-CBBC617A2699}"/>
        <w:dropDownList w:lastValue="For Public Release">
          <w:listItem w:value="[ReleaseClassification]"/>
        </w:dropDownList>
      </w:sdtPr>
      <w:sdtEndPr/>
      <w:sdtContent>
        <w:r>
          <w:rPr>
            <w:snapToGrid w:val="0"/>
            <w:szCs w:val="16"/>
          </w:rPr>
          <w:t>For Public Release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0A4A3" w14:textId="77777777" w:rsidR="00461F99" w:rsidRDefault="00461F99" w:rsidP="00A4382C">
      <w:pPr>
        <w:spacing w:line="240" w:lineRule="auto"/>
      </w:pPr>
      <w:r>
        <w:separator/>
      </w:r>
    </w:p>
  </w:footnote>
  <w:footnote w:type="continuationSeparator" w:id="0">
    <w:p w14:paraId="1E6EAFBB" w14:textId="77777777" w:rsidR="00461F99" w:rsidRDefault="00461F99" w:rsidP="00A438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28C52" w14:textId="77777777" w:rsidR="008859DC" w:rsidRDefault="008859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28C53" w14:textId="77777777" w:rsidR="008859DC" w:rsidRDefault="008859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28C57" w14:textId="77777777" w:rsidR="008859DC" w:rsidRDefault="008859DC" w:rsidP="00ED1616">
    <w:pPr>
      <w:pStyle w:val="Header"/>
      <w:spacing w:after="160"/>
    </w:pPr>
    <w:r>
      <w:rPr>
        <w:noProof/>
        <w:lang w:eastAsia="en-AU"/>
      </w:rPr>
      <w:drawing>
        <wp:inline distT="0" distB="0" distL="0" distR="0" wp14:anchorId="72B28C64" wp14:editId="72B28C65">
          <wp:extent cx="6727000" cy="3124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cy_cover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27000" cy="31248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28C5B" w14:textId="77777777" w:rsidR="008859DC" w:rsidRDefault="008859D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28C5C" w14:textId="77777777" w:rsidR="008859DC" w:rsidRPr="001A209E" w:rsidRDefault="008859DC" w:rsidP="001A209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28C60" w14:textId="77777777" w:rsidR="008859DC" w:rsidRDefault="008859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1122C"/>
    <w:multiLevelType w:val="multilevel"/>
    <w:tmpl w:val="C97C1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281CB5"/>
    <w:multiLevelType w:val="hybridMultilevel"/>
    <w:tmpl w:val="20502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9252E5"/>
    <w:multiLevelType w:val="hybridMultilevel"/>
    <w:tmpl w:val="C77A27B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4E4A6E"/>
    <w:multiLevelType w:val="multilevel"/>
    <w:tmpl w:val="C4023126"/>
    <w:styleLink w:val="AgencyTableBullets"/>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ascii="Courier New" w:hAnsi="Courier New"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o"/>
      <w:lvlJc w:val="left"/>
      <w:pPr>
        <w:ind w:left="1704" w:hanging="284"/>
      </w:pPr>
      <w:rPr>
        <w:rFonts w:ascii="Courier New" w:hAnsi="Courier New"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o"/>
      <w:lvlJc w:val="left"/>
      <w:pPr>
        <w:ind w:left="2556" w:hanging="284"/>
      </w:pPr>
      <w:rPr>
        <w:rFonts w:ascii="Courier New" w:hAnsi="Courier New" w:hint="default"/>
      </w:rPr>
    </w:lvl>
  </w:abstractNum>
  <w:abstractNum w:abstractNumId="4" w15:restartNumberingAfterBreak="0">
    <w:nsid w:val="101C2764"/>
    <w:multiLevelType w:val="hybridMultilevel"/>
    <w:tmpl w:val="D7649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F461A1"/>
    <w:multiLevelType w:val="hybridMultilevel"/>
    <w:tmpl w:val="5E541EF4"/>
    <w:lvl w:ilvl="0" w:tplc="79BEDD88">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240523F"/>
    <w:multiLevelType w:val="hybridMultilevel"/>
    <w:tmpl w:val="EEEC5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302268"/>
    <w:multiLevelType w:val="hybridMultilevel"/>
    <w:tmpl w:val="D1F656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7F6706C"/>
    <w:multiLevelType w:val="hybridMultilevel"/>
    <w:tmpl w:val="488C8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5F6D97"/>
    <w:multiLevelType w:val="multilevel"/>
    <w:tmpl w:val="D5A4B100"/>
    <w:styleLink w:val="AgencyTableNumbers"/>
    <w:lvl w:ilvl="0">
      <w:start w:val="1"/>
      <w:numFmt w:val="decimal"/>
      <w:pStyle w:val="TableNumb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15:restartNumberingAfterBreak="0">
    <w:nsid w:val="27577B6A"/>
    <w:multiLevelType w:val="multilevel"/>
    <w:tmpl w:val="437E9FBC"/>
    <w:styleLink w:val="AgencyBullets"/>
    <w:lvl w:ilvl="0">
      <w:start w:val="1"/>
      <w:numFmt w:val="bullet"/>
      <w:pStyle w:val="ListBullet"/>
      <w:lvlText w:val=""/>
      <w:lvlJc w:val="left"/>
      <w:pPr>
        <w:ind w:left="425" w:hanging="425"/>
      </w:pPr>
      <w:rPr>
        <w:rFonts w:ascii="Symbol" w:hAnsi="Symbol" w:hint="default"/>
      </w:rPr>
    </w:lvl>
    <w:lvl w:ilvl="1">
      <w:start w:val="1"/>
      <w:numFmt w:val="bullet"/>
      <w:pStyle w:val="ListBullet2"/>
      <w:lvlText w:val="-"/>
      <w:lvlJc w:val="left"/>
      <w:pPr>
        <w:ind w:left="850" w:hanging="425"/>
      </w:pPr>
      <w:rPr>
        <w:rFonts w:ascii="Symbol" w:hAnsi="Symbol" w:hint="default"/>
      </w:rPr>
    </w:lvl>
    <w:lvl w:ilvl="2">
      <w:start w:val="1"/>
      <w:numFmt w:val="bullet"/>
      <w:pStyle w:val="ListBullet3"/>
      <w:lvlText w:val="o"/>
      <w:lvlJc w:val="left"/>
      <w:pPr>
        <w:ind w:left="1275" w:hanging="425"/>
      </w:pPr>
      <w:rPr>
        <w:rFonts w:ascii="Courier New" w:hAnsi="Courier New" w:hint="default"/>
      </w:rPr>
    </w:lvl>
    <w:lvl w:ilvl="3">
      <w:start w:val="1"/>
      <w:numFmt w:val="bullet"/>
      <w:pStyle w:val="ListBullet4"/>
      <w:lvlText w:val=""/>
      <w:lvlJc w:val="left"/>
      <w:pPr>
        <w:ind w:left="1700" w:hanging="425"/>
      </w:pPr>
      <w:rPr>
        <w:rFonts w:ascii="Symbol" w:hAnsi="Symbol" w:hint="default"/>
      </w:rPr>
    </w:lvl>
    <w:lvl w:ilvl="4">
      <w:start w:val="1"/>
      <w:numFmt w:val="bullet"/>
      <w:pStyle w:val="ListBullet5"/>
      <w:lvlText w:val="-"/>
      <w:lvlJc w:val="left"/>
      <w:pPr>
        <w:ind w:left="2125" w:hanging="425"/>
      </w:pPr>
      <w:rPr>
        <w:rFonts w:ascii="Symbol" w:hAnsi="Symbol" w:hint="default"/>
      </w:rPr>
    </w:lvl>
    <w:lvl w:ilvl="5">
      <w:start w:val="1"/>
      <w:numFmt w:val="bullet"/>
      <w:lvlText w:val="o"/>
      <w:lvlJc w:val="left"/>
      <w:pPr>
        <w:ind w:left="2550" w:hanging="425"/>
      </w:pPr>
      <w:rPr>
        <w:rFonts w:ascii="Courier New" w:hAnsi="Courier New" w:hint="default"/>
      </w:rPr>
    </w:lvl>
    <w:lvl w:ilvl="6">
      <w:start w:val="1"/>
      <w:numFmt w:val="bullet"/>
      <w:lvlText w:val=""/>
      <w:lvlJc w:val="left"/>
      <w:pPr>
        <w:ind w:left="2975" w:hanging="425"/>
      </w:pPr>
      <w:rPr>
        <w:rFonts w:ascii="Symbol" w:hAnsi="Symbol" w:hint="default"/>
        <w:color w:val="auto"/>
      </w:rPr>
    </w:lvl>
    <w:lvl w:ilvl="7">
      <w:start w:val="1"/>
      <w:numFmt w:val="bullet"/>
      <w:lvlText w:val="-"/>
      <w:lvlJc w:val="left"/>
      <w:pPr>
        <w:ind w:left="3400" w:hanging="425"/>
      </w:pPr>
      <w:rPr>
        <w:rFonts w:ascii="Symbol" w:hAnsi="Symbol" w:hint="default"/>
      </w:rPr>
    </w:lvl>
    <w:lvl w:ilvl="8">
      <w:start w:val="1"/>
      <w:numFmt w:val="bullet"/>
      <w:lvlText w:val="o"/>
      <w:lvlJc w:val="left"/>
      <w:pPr>
        <w:ind w:left="3825" w:hanging="425"/>
      </w:pPr>
      <w:rPr>
        <w:rFonts w:ascii="Courier New" w:hAnsi="Courier New" w:hint="default"/>
      </w:rPr>
    </w:lvl>
  </w:abstractNum>
  <w:abstractNum w:abstractNumId="11" w15:restartNumberingAfterBreak="0">
    <w:nsid w:val="27EF3FE3"/>
    <w:multiLevelType w:val="hybridMultilevel"/>
    <w:tmpl w:val="6B203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F9347F"/>
    <w:multiLevelType w:val="hybridMultilevel"/>
    <w:tmpl w:val="F6769A42"/>
    <w:lvl w:ilvl="0" w:tplc="43E64C8A">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9380F3F"/>
    <w:multiLevelType w:val="hybridMultilevel"/>
    <w:tmpl w:val="4F96A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243C66"/>
    <w:multiLevelType w:val="hybridMultilevel"/>
    <w:tmpl w:val="BBDEE9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69E1144"/>
    <w:multiLevelType w:val="hybridMultilevel"/>
    <w:tmpl w:val="260E6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A92145"/>
    <w:multiLevelType w:val="hybridMultilevel"/>
    <w:tmpl w:val="0DC823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B20D18"/>
    <w:multiLevelType w:val="multilevel"/>
    <w:tmpl w:val="C4023126"/>
    <w:numStyleLink w:val="AgencyTableBullets"/>
  </w:abstractNum>
  <w:abstractNum w:abstractNumId="18" w15:restartNumberingAfterBreak="0">
    <w:nsid w:val="4474526F"/>
    <w:multiLevelType w:val="multilevel"/>
    <w:tmpl w:val="D5A4B100"/>
    <w:numStyleLink w:val="AgencyTableNumbers"/>
  </w:abstractNum>
  <w:abstractNum w:abstractNumId="19" w15:restartNumberingAfterBreak="0">
    <w:nsid w:val="4B361966"/>
    <w:multiLevelType w:val="multilevel"/>
    <w:tmpl w:val="77DEEFC4"/>
    <w:styleLink w:val="AgencyNumbers"/>
    <w:lvl w:ilvl="0">
      <w:start w:val="1"/>
      <w:numFmt w:val="decimal"/>
      <w:pStyle w:val="ListNumber"/>
      <w:lvlText w:val="%1."/>
      <w:lvlJc w:val="left"/>
      <w:pPr>
        <w:ind w:left="425" w:hanging="425"/>
      </w:pPr>
      <w:rPr>
        <w:rFonts w:hint="default"/>
      </w:rPr>
    </w:lvl>
    <w:lvl w:ilvl="1">
      <w:start w:val="1"/>
      <w:numFmt w:val="lowerLetter"/>
      <w:pStyle w:val="ListNumber2"/>
      <w:lvlText w:val="%2."/>
      <w:lvlJc w:val="left"/>
      <w:pPr>
        <w:ind w:left="850" w:hanging="425"/>
      </w:pPr>
      <w:rPr>
        <w:rFonts w:hint="default"/>
      </w:rPr>
    </w:lvl>
    <w:lvl w:ilvl="2">
      <w:start w:val="1"/>
      <w:numFmt w:val="lowerRoman"/>
      <w:pStyle w:val="ListNumber3"/>
      <w:lvlText w:val="%3."/>
      <w:lvlJc w:val="left"/>
      <w:pPr>
        <w:ind w:left="1275" w:hanging="425"/>
      </w:pPr>
      <w:rPr>
        <w:rFonts w:hint="default"/>
      </w:rPr>
    </w:lvl>
    <w:lvl w:ilvl="3">
      <w:start w:val="1"/>
      <w:numFmt w:val="decimal"/>
      <w:pStyle w:val="ListNumber4"/>
      <w:lvlText w:val="%4."/>
      <w:lvlJc w:val="left"/>
      <w:pPr>
        <w:ind w:left="1700" w:hanging="425"/>
      </w:pPr>
      <w:rPr>
        <w:rFonts w:hint="default"/>
      </w:rPr>
    </w:lvl>
    <w:lvl w:ilvl="4">
      <w:start w:val="1"/>
      <w:numFmt w:val="lowerLetter"/>
      <w:pStyle w:val="ListNumber5"/>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20" w15:restartNumberingAfterBreak="0">
    <w:nsid w:val="4C8259A4"/>
    <w:multiLevelType w:val="hybridMultilevel"/>
    <w:tmpl w:val="83F4A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F565F29"/>
    <w:multiLevelType w:val="hybridMultilevel"/>
    <w:tmpl w:val="560A4DF8"/>
    <w:lvl w:ilvl="0" w:tplc="B81CC28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FD72684"/>
    <w:multiLevelType w:val="hybridMultilevel"/>
    <w:tmpl w:val="96F00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7B6C5A"/>
    <w:multiLevelType w:val="hybridMultilevel"/>
    <w:tmpl w:val="1B8C4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C03C63"/>
    <w:multiLevelType w:val="multilevel"/>
    <w:tmpl w:val="D4BE1A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544E748D"/>
    <w:multiLevelType w:val="hybridMultilevel"/>
    <w:tmpl w:val="FC5E45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3D3B9C"/>
    <w:multiLevelType w:val="hybridMultilevel"/>
    <w:tmpl w:val="139E1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69B34CC"/>
    <w:multiLevelType w:val="hybridMultilevel"/>
    <w:tmpl w:val="42EA830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A791C5B"/>
    <w:multiLevelType w:val="hybridMultilevel"/>
    <w:tmpl w:val="00424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6D724E0"/>
    <w:multiLevelType w:val="hybridMultilevel"/>
    <w:tmpl w:val="DEDE9ECC"/>
    <w:lvl w:ilvl="0" w:tplc="0C090001">
      <w:start w:val="1"/>
      <w:numFmt w:val="bullet"/>
      <w:lvlText w:val=""/>
      <w:lvlJc w:val="left"/>
      <w:pPr>
        <w:ind w:left="1077" w:hanging="360"/>
      </w:pPr>
      <w:rPr>
        <w:rFonts w:ascii="Symbol" w:hAnsi="Symbol" w:hint="default"/>
      </w:rPr>
    </w:lvl>
    <w:lvl w:ilvl="1" w:tplc="0C090003">
      <w:start w:val="1"/>
      <w:numFmt w:val="bullet"/>
      <w:lvlText w:val="o"/>
      <w:lvlJc w:val="left"/>
      <w:pPr>
        <w:ind w:left="1797" w:hanging="360"/>
      </w:pPr>
      <w:rPr>
        <w:rFonts w:ascii="Courier New" w:hAnsi="Courier New" w:cs="Courier New" w:hint="default"/>
      </w:rPr>
    </w:lvl>
    <w:lvl w:ilvl="2" w:tplc="0C090005">
      <w:start w:val="1"/>
      <w:numFmt w:val="bullet"/>
      <w:lvlText w:val=""/>
      <w:lvlJc w:val="left"/>
      <w:pPr>
        <w:ind w:left="2517" w:hanging="360"/>
      </w:pPr>
      <w:rPr>
        <w:rFonts w:ascii="Wingdings" w:hAnsi="Wingdings" w:hint="default"/>
      </w:rPr>
    </w:lvl>
    <w:lvl w:ilvl="3" w:tplc="0C090001">
      <w:start w:val="1"/>
      <w:numFmt w:val="bullet"/>
      <w:lvlText w:val=""/>
      <w:lvlJc w:val="left"/>
      <w:pPr>
        <w:ind w:left="3237" w:hanging="360"/>
      </w:pPr>
      <w:rPr>
        <w:rFonts w:ascii="Symbol" w:hAnsi="Symbol" w:hint="default"/>
      </w:rPr>
    </w:lvl>
    <w:lvl w:ilvl="4" w:tplc="0C090003">
      <w:start w:val="1"/>
      <w:numFmt w:val="bullet"/>
      <w:lvlText w:val="o"/>
      <w:lvlJc w:val="left"/>
      <w:pPr>
        <w:ind w:left="3957" w:hanging="360"/>
      </w:pPr>
      <w:rPr>
        <w:rFonts w:ascii="Courier New" w:hAnsi="Courier New" w:cs="Courier New" w:hint="default"/>
      </w:rPr>
    </w:lvl>
    <w:lvl w:ilvl="5" w:tplc="0C090005">
      <w:start w:val="1"/>
      <w:numFmt w:val="bullet"/>
      <w:lvlText w:val=""/>
      <w:lvlJc w:val="left"/>
      <w:pPr>
        <w:ind w:left="4677" w:hanging="360"/>
      </w:pPr>
      <w:rPr>
        <w:rFonts w:ascii="Wingdings" w:hAnsi="Wingdings" w:hint="default"/>
      </w:rPr>
    </w:lvl>
    <w:lvl w:ilvl="6" w:tplc="0C090001">
      <w:start w:val="1"/>
      <w:numFmt w:val="bullet"/>
      <w:lvlText w:val=""/>
      <w:lvlJc w:val="left"/>
      <w:pPr>
        <w:ind w:left="5397" w:hanging="360"/>
      </w:pPr>
      <w:rPr>
        <w:rFonts w:ascii="Symbol" w:hAnsi="Symbol" w:hint="default"/>
      </w:rPr>
    </w:lvl>
    <w:lvl w:ilvl="7" w:tplc="0C090003">
      <w:start w:val="1"/>
      <w:numFmt w:val="bullet"/>
      <w:lvlText w:val="o"/>
      <w:lvlJc w:val="left"/>
      <w:pPr>
        <w:ind w:left="6117" w:hanging="360"/>
      </w:pPr>
      <w:rPr>
        <w:rFonts w:ascii="Courier New" w:hAnsi="Courier New" w:cs="Courier New" w:hint="default"/>
      </w:rPr>
    </w:lvl>
    <w:lvl w:ilvl="8" w:tplc="0C090005">
      <w:start w:val="1"/>
      <w:numFmt w:val="bullet"/>
      <w:lvlText w:val=""/>
      <w:lvlJc w:val="left"/>
      <w:pPr>
        <w:ind w:left="6837" w:hanging="360"/>
      </w:pPr>
      <w:rPr>
        <w:rFonts w:ascii="Wingdings" w:hAnsi="Wingdings" w:hint="default"/>
      </w:rPr>
    </w:lvl>
  </w:abstractNum>
  <w:abstractNum w:abstractNumId="30" w15:restartNumberingAfterBreak="0">
    <w:nsid w:val="68E8496D"/>
    <w:multiLevelType w:val="hybridMultilevel"/>
    <w:tmpl w:val="475C11D8"/>
    <w:lvl w:ilvl="0" w:tplc="0C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31" w15:restartNumberingAfterBreak="0">
    <w:nsid w:val="70634C3B"/>
    <w:multiLevelType w:val="hybridMultilevel"/>
    <w:tmpl w:val="5002CE92"/>
    <w:lvl w:ilvl="0" w:tplc="0C09000F">
      <w:start w:val="1"/>
      <w:numFmt w:val="decimal"/>
      <w:lvlText w:val="%1."/>
      <w:lvlJc w:val="left"/>
      <w:pPr>
        <w:ind w:left="789" w:hanging="360"/>
      </w:pPr>
    </w:lvl>
    <w:lvl w:ilvl="1" w:tplc="0C090019" w:tentative="1">
      <w:start w:val="1"/>
      <w:numFmt w:val="lowerLetter"/>
      <w:lvlText w:val="%2."/>
      <w:lvlJc w:val="left"/>
      <w:pPr>
        <w:ind w:left="1509" w:hanging="360"/>
      </w:pPr>
    </w:lvl>
    <w:lvl w:ilvl="2" w:tplc="0C09001B" w:tentative="1">
      <w:start w:val="1"/>
      <w:numFmt w:val="lowerRoman"/>
      <w:lvlText w:val="%3."/>
      <w:lvlJc w:val="right"/>
      <w:pPr>
        <w:ind w:left="2229" w:hanging="180"/>
      </w:pPr>
    </w:lvl>
    <w:lvl w:ilvl="3" w:tplc="0C09000F" w:tentative="1">
      <w:start w:val="1"/>
      <w:numFmt w:val="decimal"/>
      <w:lvlText w:val="%4."/>
      <w:lvlJc w:val="left"/>
      <w:pPr>
        <w:ind w:left="2949" w:hanging="360"/>
      </w:pPr>
    </w:lvl>
    <w:lvl w:ilvl="4" w:tplc="0C090019" w:tentative="1">
      <w:start w:val="1"/>
      <w:numFmt w:val="lowerLetter"/>
      <w:lvlText w:val="%5."/>
      <w:lvlJc w:val="left"/>
      <w:pPr>
        <w:ind w:left="3669" w:hanging="360"/>
      </w:pPr>
    </w:lvl>
    <w:lvl w:ilvl="5" w:tplc="0C09001B" w:tentative="1">
      <w:start w:val="1"/>
      <w:numFmt w:val="lowerRoman"/>
      <w:lvlText w:val="%6."/>
      <w:lvlJc w:val="right"/>
      <w:pPr>
        <w:ind w:left="4389" w:hanging="180"/>
      </w:pPr>
    </w:lvl>
    <w:lvl w:ilvl="6" w:tplc="0C09000F" w:tentative="1">
      <w:start w:val="1"/>
      <w:numFmt w:val="decimal"/>
      <w:lvlText w:val="%7."/>
      <w:lvlJc w:val="left"/>
      <w:pPr>
        <w:ind w:left="5109" w:hanging="360"/>
      </w:pPr>
    </w:lvl>
    <w:lvl w:ilvl="7" w:tplc="0C090019" w:tentative="1">
      <w:start w:val="1"/>
      <w:numFmt w:val="lowerLetter"/>
      <w:lvlText w:val="%8."/>
      <w:lvlJc w:val="left"/>
      <w:pPr>
        <w:ind w:left="5829" w:hanging="360"/>
      </w:pPr>
    </w:lvl>
    <w:lvl w:ilvl="8" w:tplc="0C09001B" w:tentative="1">
      <w:start w:val="1"/>
      <w:numFmt w:val="lowerRoman"/>
      <w:lvlText w:val="%9."/>
      <w:lvlJc w:val="right"/>
      <w:pPr>
        <w:ind w:left="6549" w:hanging="180"/>
      </w:pPr>
    </w:lvl>
  </w:abstractNum>
  <w:abstractNum w:abstractNumId="32" w15:restartNumberingAfterBreak="0">
    <w:nsid w:val="70AD7602"/>
    <w:multiLevelType w:val="hybridMultilevel"/>
    <w:tmpl w:val="EE16867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3"/>
  </w:num>
  <w:num w:numId="4">
    <w:abstractNumId w:val="9"/>
  </w:num>
  <w:num w:numId="5">
    <w:abstractNumId w:val="10"/>
    <w:lvlOverride w:ilvl="0">
      <w:lvl w:ilvl="0">
        <w:start w:val="1"/>
        <w:numFmt w:val="bullet"/>
        <w:pStyle w:val="ListBullet"/>
        <w:lvlText w:val=""/>
        <w:lvlJc w:val="left"/>
        <w:pPr>
          <w:ind w:left="425" w:hanging="425"/>
        </w:pPr>
        <w:rPr>
          <w:rFonts w:ascii="Symbol" w:hAnsi="Symbol" w:hint="default"/>
          <w:color w:val="000000" w:themeColor="text1"/>
        </w:rPr>
      </w:lvl>
    </w:lvlOverride>
  </w:num>
  <w:num w:numId="6">
    <w:abstractNumId w:val="19"/>
  </w:num>
  <w:num w:numId="7">
    <w:abstractNumId w:val="17"/>
  </w:num>
  <w:num w:numId="8">
    <w:abstractNumId w:val="18"/>
  </w:num>
  <w:num w:numId="9">
    <w:abstractNumId w:val="23"/>
  </w:num>
  <w:num w:numId="10">
    <w:abstractNumId w:val="22"/>
  </w:num>
  <w:num w:numId="11">
    <w:abstractNumId w:val="13"/>
  </w:num>
  <w:num w:numId="12">
    <w:abstractNumId w:val="32"/>
  </w:num>
  <w:num w:numId="13">
    <w:abstractNumId w:val="25"/>
  </w:num>
  <w:num w:numId="14">
    <w:abstractNumId w:val="11"/>
  </w:num>
  <w:num w:numId="15">
    <w:abstractNumId w:val="12"/>
  </w:num>
  <w:num w:numId="16">
    <w:abstractNumId w:val="2"/>
  </w:num>
  <w:num w:numId="17">
    <w:abstractNumId w:val="27"/>
  </w:num>
  <w:num w:numId="18">
    <w:abstractNumId w:val="6"/>
  </w:num>
  <w:num w:numId="19">
    <w:abstractNumId w:val="16"/>
  </w:num>
  <w:num w:numId="20">
    <w:abstractNumId w:val="21"/>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29"/>
  </w:num>
  <w:num w:numId="29">
    <w:abstractNumId w:val="26"/>
  </w:num>
  <w:num w:numId="30">
    <w:abstractNumId w:val="30"/>
  </w:num>
  <w:num w:numId="31">
    <w:abstractNumId w:val="4"/>
  </w:num>
  <w:num w:numId="32">
    <w:abstractNumId w:val="1"/>
  </w:num>
  <w:num w:numId="33">
    <w:abstractNumId w:val="15"/>
  </w:num>
  <w:num w:numId="34">
    <w:abstractNumId w:val="14"/>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7"/>
  </w:num>
  <w:num w:numId="38">
    <w:abstractNumId w:val="20"/>
  </w:num>
  <w:num w:numId="39">
    <w:abstractNumId w:val="28"/>
  </w:num>
  <w:num w:numId="40">
    <w:abstractNumId w:val="8"/>
  </w:num>
  <w:num w:numId="41">
    <w:abstractNumId w:val="0"/>
  </w:num>
  <w:num w:numId="42">
    <w:abstractNumId w:val="10"/>
    <w:lvlOverride w:ilvl="0">
      <w:lvl w:ilvl="0">
        <w:start w:val="1"/>
        <w:numFmt w:val="bullet"/>
        <w:pStyle w:val="ListBullet"/>
        <w:lvlText w:val=""/>
        <w:lvlJc w:val="left"/>
        <w:pPr>
          <w:ind w:left="425" w:hanging="425"/>
        </w:pPr>
        <w:rPr>
          <w:rFonts w:ascii="Symbol" w:hAnsi="Symbol" w:hint="default"/>
          <w:color w:val="000000" w:themeColor="text1"/>
        </w:rPr>
      </w:lvl>
    </w:lvlOverride>
  </w:num>
  <w:num w:numId="43">
    <w:abstractNumId w:val="10"/>
    <w:lvlOverride w:ilvl="0">
      <w:lvl w:ilvl="0">
        <w:start w:val="1"/>
        <w:numFmt w:val="bullet"/>
        <w:pStyle w:val="ListBullet"/>
        <w:lvlText w:val=""/>
        <w:lvlJc w:val="left"/>
        <w:pPr>
          <w:ind w:left="425" w:hanging="425"/>
        </w:pPr>
        <w:rPr>
          <w:rFonts w:ascii="Symbol" w:hAnsi="Symbol" w:hint="default"/>
          <w:color w:val="000000" w:themeColor="text1"/>
        </w:rPr>
      </w:lvl>
    </w:lvlOverride>
  </w:num>
  <w:num w:numId="44">
    <w:abstractNumId w:val="10"/>
    <w:lvlOverride w:ilvl="0">
      <w:lvl w:ilvl="0">
        <w:start w:val="1"/>
        <w:numFmt w:val="bullet"/>
        <w:pStyle w:val="ListBullet"/>
        <w:lvlText w:val=""/>
        <w:lvlJc w:val="left"/>
        <w:pPr>
          <w:ind w:left="425" w:hanging="425"/>
        </w:pPr>
        <w:rPr>
          <w:rFonts w:ascii="Symbol" w:hAnsi="Symbol" w:hint="default"/>
          <w:color w:val="000000" w:themeColor="text1"/>
        </w:rPr>
      </w:lvl>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attachedTemplate r:id="rId1"/>
  <w:defaultTabStop w:val="567"/>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616"/>
    <w:rsid w:val="00005285"/>
    <w:rsid w:val="0001485B"/>
    <w:rsid w:val="00030161"/>
    <w:rsid w:val="0004704C"/>
    <w:rsid w:val="000628DD"/>
    <w:rsid w:val="00070650"/>
    <w:rsid w:val="00081F4F"/>
    <w:rsid w:val="00087E7C"/>
    <w:rsid w:val="000A41CA"/>
    <w:rsid w:val="000C1787"/>
    <w:rsid w:val="000D6278"/>
    <w:rsid w:val="000F4B54"/>
    <w:rsid w:val="00101A4E"/>
    <w:rsid w:val="00117846"/>
    <w:rsid w:val="00127A81"/>
    <w:rsid w:val="00135B2B"/>
    <w:rsid w:val="00150D6F"/>
    <w:rsid w:val="0015286C"/>
    <w:rsid w:val="00161BAC"/>
    <w:rsid w:val="001621AC"/>
    <w:rsid w:val="0016416A"/>
    <w:rsid w:val="00166F4F"/>
    <w:rsid w:val="001723E2"/>
    <w:rsid w:val="00175B21"/>
    <w:rsid w:val="00182318"/>
    <w:rsid w:val="001853E7"/>
    <w:rsid w:val="001854E5"/>
    <w:rsid w:val="00197CF2"/>
    <w:rsid w:val="001A209E"/>
    <w:rsid w:val="001A4DB9"/>
    <w:rsid w:val="001C267C"/>
    <w:rsid w:val="001C316F"/>
    <w:rsid w:val="001C667B"/>
    <w:rsid w:val="001D2EB0"/>
    <w:rsid w:val="001E38AF"/>
    <w:rsid w:val="001E5057"/>
    <w:rsid w:val="001F1168"/>
    <w:rsid w:val="001F302C"/>
    <w:rsid w:val="0021319C"/>
    <w:rsid w:val="00217BF0"/>
    <w:rsid w:val="00233EF7"/>
    <w:rsid w:val="00236322"/>
    <w:rsid w:val="002760CB"/>
    <w:rsid w:val="002A4E34"/>
    <w:rsid w:val="002A7B30"/>
    <w:rsid w:val="002D46D3"/>
    <w:rsid w:val="002D4783"/>
    <w:rsid w:val="002E7DD3"/>
    <w:rsid w:val="002E7F3D"/>
    <w:rsid w:val="00306FAF"/>
    <w:rsid w:val="00316310"/>
    <w:rsid w:val="00317B5F"/>
    <w:rsid w:val="00321C39"/>
    <w:rsid w:val="00327D01"/>
    <w:rsid w:val="00332702"/>
    <w:rsid w:val="0033401D"/>
    <w:rsid w:val="00334E55"/>
    <w:rsid w:val="00355E48"/>
    <w:rsid w:val="0036454B"/>
    <w:rsid w:val="00371FB3"/>
    <w:rsid w:val="00375984"/>
    <w:rsid w:val="00376622"/>
    <w:rsid w:val="0038356A"/>
    <w:rsid w:val="003A2211"/>
    <w:rsid w:val="003B68D0"/>
    <w:rsid w:val="003D0607"/>
    <w:rsid w:val="003F4681"/>
    <w:rsid w:val="003F582D"/>
    <w:rsid w:val="003F6600"/>
    <w:rsid w:val="003F68F5"/>
    <w:rsid w:val="004108AE"/>
    <w:rsid w:val="00414A96"/>
    <w:rsid w:val="004160FC"/>
    <w:rsid w:val="00430392"/>
    <w:rsid w:val="004375A0"/>
    <w:rsid w:val="0044007D"/>
    <w:rsid w:val="004411C8"/>
    <w:rsid w:val="00444AD4"/>
    <w:rsid w:val="00461F99"/>
    <w:rsid w:val="00475702"/>
    <w:rsid w:val="00490548"/>
    <w:rsid w:val="004C12D6"/>
    <w:rsid w:val="004C3B9E"/>
    <w:rsid w:val="004D5B8D"/>
    <w:rsid w:val="004E61B5"/>
    <w:rsid w:val="004F6AB4"/>
    <w:rsid w:val="00502FFE"/>
    <w:rsid w:val="00505011"/>
    <w:rsid w:val="00514AD7"/>
    <w:rsid w:val="00517B50"/>
    <w:rsid w:val="00521B09"/>
    <w:rsid w:val="00556CD6"/>
    <w:rsid w:val="00562632"/>
    <w:rsid w:val="0057723F"/>
    <w:rsid w:val="005823D1"/>
    <w:rsid w:val="005A2015"/>
    <w:rsid w:val="005A40EE"/>
    <w:rsid w:val="005B2D90"/>
    <w:rsid w:val="005B539C"/>
    <w:rsid w:val="005C7F45"/>
    <w:rsid w:val="005D36B8"/>
    <w:rsid w:val="006512AE"/>
    <w:rsid w:val="006547BD"/>
    <w:rsid w:val="006632F6"/>
    <w:rsid w:val="00664B55"/>
    <w:rsid w:val="00675546"/>
    <w:rsid w:val="00681605"/>
    <w:rsid w:val="00682460"/>
    <w:rsid w:val="0069124D"/>
    <w:rsid w:val="006B372C"/>
    <w:rsid w:val="006B7E10"/>
    <w:rsid w:val="006F5B25"/>
    <w:rsid w:val="00711DD3"/>
    <w:rsid w:val="007136F3"/>
    <w:rsid w:val="007218E4"/>
    <w:rsid w:val="00725843"/>
    <w:rsid w:val="00730440"/>
    <w:rsid w:val="00736097"/>
    <w:rsid w:val="00736B45"/>
    <w:rsid w:val="00746E21"/>
    <w:rsid w:val="0075253D"/>
    <w:rsid w:val="007528AA"/>
    <w:rsid w:val="00757A2A"/>
    <w:rsid w:val="007A05FD"/>
    <w:rsid w:val="007A54B1"/>
    <w:rsid w:val="007D63A6"/>
    <w:rsid w:val="007E4463"/>
    <w:rsid w:val="007F15E7"/>
    <w:rsid w:val="00802349"/>
    <w:rsid w:val="008565C8"/>
    <w:rsid w:val="00866110"/>
    <w:rsid w:val="00872DFB"/>
    <w:rsid w:val="00875FE3"/>
    <w:rsid w:val="00884F47"/>
    <w:rsid w:val="008859DC"/>
    <w:rsid w:val="0089012F"/>
    <w:rsid w:val="0089115D"/>
    <w:rsid w:val="008A0283"/>
    <w:rsid w:val="008A72AE"/>
    <w:rsid w:val="008D00D7"/>
    <w:rsid w:val="008E0D74"/>
    <w:rsid w:val="008E41EC"/>
    <w:rsid w:val="008E742A"/>
    <w:rsid w:val="009123A2"/>
    <w:rsid w:val="0092212E"/>
    <w:rsid w:val="00930BCD"/>
    <w:rsid w:val="00931C4E"/>
    <w:rsid w:val="00935B0B"/>
    <w:rsid w:val="0094285C"/>
    <w:rsid w:val="00943CC7"/>
    <w:rsid w:val="00944D7D"/>
    <w:rsid w:val="00953276"/>
    <w:rsid w:val="009532BA"/>
    <w:rsid w:val="00972881"/>
    <w:rsid w:val="009A0FE6"/>
    <w:rsid w:val="009B0BD9"/>
    <w:rsid w:val="009B65D2"/>
    <w:rsid w:val="009E6FF6"/>
    <w:rsid w:val="00A07821"/>
    <w:rsid w:val="00A07CF9"/>
    <w:rsid w:val="00A26BFB"/>
    <w:rsid w:val="00A3432D"/>
    <w:rsid w:val="00A40D7F"/>
    <w:rsid w:val="00A4382C"/>
    <w:rsid w:val="00A663DD"/>
    <w:rsid w:val="00A73213"/>
    <w:rsid w:val="00A768BE"/>
    <w:rsid w:val="00A804F9"/>
    <w:rsid w:val="00A826CA"/>
    <w:rsid w:val="00A865D9"/>
    <w:rsid w:val="00AB2131"/>
    <w:rsid w:val="00AB6382"/>
    <w:rsid w:val="00AC08F1"/>
    <w:rsid w:val="00AD0559"/>
    <w:rsid w:val="00AD6D48"/>
    <w:rsid w:val="00AE2B03"/>
    <w:rsid w:val="00AE6CF0"/>
    <w:rsid w:val="00AF2EBC"/>
    <w:rsid w:val="00B0705E"/>
    <w:rsid w:val="00B23B2F"/>
    <w:rsid w:val="00B4205B"/>
    <w:rsid w:val="00B45BCE"/>
    <w:rsid w:val="00B55E73"/>
    <w:rsid w:val="00B82E73"/>
    <w:rsid w:val="00B96B1B"/>
    <w:rsid w:val="00BA51AE"/>
    <w:rsid w:val="00BB241A"/>
    <w:rsid w:val="00BC5B97"/>
    <w:rsid w:val="00BC790D"/>
    <w:rsid w:val="00BD452D"/>
    <w:rsid w:val="00BD5E20"/>
    <w:rsid w:val="00BD7FE2"/>
    <w:rsid w:val="00BE3618"/>
    <w:rsid w:val="00C169C6"/>
    <w:rsid w:val="00C17C2B"/>
    <w:rsid w:val="00C3727F"/>
    <w:rsid w:val="00C37734"/>
    <w:rsid w:val="00C524D8"/>
    <w:rsid w:val="00C56304"/>
    <w:rsid w:val="00C56672"/>
    <w:rsid w:val="00C729C8"/>
    <w:rsid w:val="00C74436"/>
    <w:rsid w:val="00C851DC"/>
    <w:rsid w:val="00C95C39"/>
    <w:rsid w:val="00C97A98"/>
    <w:rsid w:val="00CB079B"/>
    <w:rsid w:val="00CB5139"/>
    <w:rsid w:val="00CC4376"/>
    <w:rsid w:val="00CC43BA"/>
    <w:rsid w:val="00CC5FB3"/>
    <w:rsid w:val="00CD6353"/>
    <w:rsid w:val="00CF64F1"/>
    <w:rsid w:val="00D016D8"/>
    <w:rsid w:val="00D14F87"/>
    <w:rsid w:val="00D27E58"/>
    <w:rsid w:val="00D43849"/>
    <w:rsid w:val="00D5302E"/>
    <w:rsid w:val="00D6395F"/>
    <w:rsid w:val="00D71CF0"/>
    <w:rsid w:val="00D7441B"/>
    <w:rsid w:val="00D8749A"/>
    <w:rsid w:val="00D9127D"/>
    <w:rsid w:val="00DA09A6"/>
    <w:rsid w:val="00DA3D6E"/>
    <w:rsid w:val="00DB3B0A"/>
    <w:rsid w:val="00DC07FF"/>
    <w:rsid w:val="00DD3B87"/>
    <w:rsid w:val="00DE0A4C"/>
    <w:rsid w:val="00DE5B3B"/>
    <w:rsid w:val="00DF4220"/>
    <w:rsid w:val="00DF7BE7"/>
    <w:rsid w:val="00E262D6"/>
    <w:rsid w:val="00E26EED"/>
    <w:rsid w:val="00E30ABB"/>
    <w:rsid w:val="00E335C1"/>
    <w:rsid w:val="00E34F17"/>
    <w:rsid w:val="00E420C5"/>
    <w:rsid w:val="00E800BA"/>
    <w:rsid w:val="00E82AF3"/>
    <w:rsid w:val="00E87942"/>
    <w:rsid w:val="00EA48D2"/>
    <w:rsid w:val="00EB048B"/>
    <w:rsid w:val="00EC15C1"/>
    <w:rsid w:val="00ED1616"/>
    <w:rsid w:val="00ED1F45"/>
    <w:rsid w:val="00ED3E33"/>
    <w:rsid w:val="00EE7C25"/>
    <w:rsid w:val="00EF3DCC"/>
    <w:rsid w:val="00F06689"/>
    <w:rsid w:val="00F07494"/>
    <w:rsid w:val="00F17A22"/>
    <w:rsid w:val="00F23377"/>
    <w:rsid w:val="00F234F8"/>
    <w:rsid w:val="00F42B9C"/>
    <w:rsid w:val="00F47CE2"/>
    <w:rsid w:val="00F53BB2"/>
    <w:rsid w:val="00F5760D"/>
    <w:rsid w:val="00FA164E"/>
    <w:rsid w:val="00FA2F82"/>
    <w:rsid w:val="00FD02CD"/>
    <w:rsid w:val="00FD5004"/>
    <w:rsid w:val="00FE4766"/>
    <w:rsid w:val="00FE6C25"/>
    <w:rsid w:val="00FF08A8"/>
    <w:rsid w:val="00FF67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2893B"/>
  <w15:docId w15:val="{6602D32F-597A-48A6-8B59-F206E46D9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4"/>
        <w:szCs w:val="24"/>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3D1"/>
    <w:pPr>
      <w:spacing w:after="0"/>
    </w:pPr>
    <w:rPr>
      <w:rFonts w:cs="Times New Roman"/>
    </w:rPr>
  </w:style>
  <w:style w:type="paragraph" w:styleId="Heading1">
    <w:name w:val="heading 1"/>
    <w:basedOn w:val="Normal"/>
    <w:next w:val="BodyText"/>
    <w:link w:val="Heading1Char"/>
    <w:uiPriority w:val="9"/>
    <w:qFormat/>
    <w:rsid w:val="00562632"/>
    <w:pPr>
      <w:keepNext/>
      <w:keepLines/>
      <w:spacing w:before="200"/>
      <w:outlineLvl w:val="0"/>
    </w:pPr>
    <w:rPr>
      <w:rFonts w:asciiTheme="majorHAnsi" w:eastAsiaTheme="majorEastAsia" w:hAnsiTheme="majorHAnsi" w:cstheme="majorBidi"/>
      <w:b/>
      <w:bCs/>
      <w:sz w:val="28"/>
      <w:szCs w:val="28"/>
    </w:rPr>
  </w:style>
  <w:style w:type="paragraph" w:styleId="Heading2">
    <w:name w:val="heading 2"/>
    <w:basedOn w:val="Heading1"/>
    <w:next w:val="BodyText"/>
    <w:link w:val="Heading2Char"/>
    <w:uiPriority w:val="9"/>
    <w:qFormat/>
    <w:rsid w:val="00316310"/>
    <w:pPr>
      <w:numPr>
        <w:ilvl w:val="1"/>
      </w:numPr>
      <w:outlineLvl w:val="1"/>
    </w:pPr>
    <w:rPr>
      <w:szCs w:val="26"/>
    </w:rPr>
  </w:style>
  <w:style w:type="paragraph" w:styleId="Heading3">
    <w:name w:val="heading 3"/>
    <w:basedOn w:val="Heading2"/>
    <w:next w:val="BodyText"/>
    <w:link w:val="Heading3Char"/>
    <w:uiPriority w:val="9"/>
    <w:qFormat/>
    <w:rsid w:val="00316310"/>
    <w:pPr>
      <w:numPr>
        <w:ilvl w:val="2"/>
      </w:numPr>
      <w:outlineLvl w:val="2"/>
    </w:pPr>
    <w:rPr>
      <w:bCs w:val="0"/>
      <w:sz w:val="26"/>
    </w:rPr>
  </w:style>
  <w:style w:type="paragraph" w:styleId="Heading4">
    <w:name w:val="heading 4"/>
    <w:basedOn w:val="Heading3"/>
    <w:next w:val="Normal"/>
    <w:link w:val="Heading4Char"/>
    <w:uiPriority w:val="9"/>
    <w:unhideWhenUsed/>
    <w:rsid w:val="00316310"/>
    <w:pPr>
      <w:outlineLvl w:val="3"/>
    </w:pPr>
    <w:rPr>
      <w:bCs/>
      <w:i/>
      <w:iCs/>
      <w:sz w:val="24"/>
    </w:rPr>
  </w:style>
  <w:style w:type="paragraph" w:styleId="Heading5">
    <w:name w:val="heading 5"/>
    <w:basedOn w:val="Heading4"/>
    <w:next w:val="Normal"/>
    <w:link w:val="Heading5Char"/>
    <w:uiPriority w:val="9"/>
    <w:unhideWhenUsed/>
    <w:rsid w:val="00316310"/>
    <w:pPr>
      <w:outlineLvl w:val="4"/>
    </w:pPr>
    <w:rPr>
      <w:b w:val="0"/>
      <w:i w:val="0"/>
    </w:rPr>
  </w:style>
  <w:style w:type="paragraph" w:styleId="Heading6">
    <w:name w:val="heading 6"/>
    <w:basedOn w:val="Heading5"/>
    <w:next w:val="Normal"/>
    <w:link w:val="Heading6Char"/>
    <w:uiPriority w:val="9"/>
    <w:unhideWhenUsed/>
    <w:rsid w:val="00316310"/>
    <w:pPr>
      <w:outlineLvl w:val="5"/>
    </w:pPr>
    <w:rPr>
      <w:i/>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263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16310"/>
    <w:rPr>
      <w:rFonts w:asciiTheme="majorHAnsi" w:eastAsiaTheme="majorEastAsia" w:hAnsiTheme="majorHAnsi" w:cstheme="majorBidi"/>
      <w:b/>
      <w:bCs/>
      <w:sz w:val="28"/>
      <w:szCs w:val="26"/>
    </w:rPr>
  </w:style>
  <w:style w:type="paragraph" w:styleId="Footer">
    <w:name w:val="footer"/>
    <w:basedOn w:val="Normal"/>
    <w:link w:val="FooterChar"/>
    <w:uiPriority w:val="99"/>
    <w:unhideWhenUsed/>
    <w:rsid w:val="00316310"/>
    <w:rPr>
      <w:rFonts w:cstheme="minorBidi"/>
      <w:sz w:val="16"/>
    </w:rPr>
  </w:style>
  <w:style w:type="character" w:customStyle="1" w:styleId="FooterChar">
    <w:name w:val="Footer Char"/>
    <w:basedOn w:val="DefaultParagraphFont"/>
    <w:link w:val="Footer"/>
    <w:uiPriority w:val="99"/>
    <w:rsid w:val="00316310"/>
    <w:rPr>
      <w:sz w:val="16"/>
      <w:szCs w:val="24"/>
    </w:rPr>
  </w:style>
  <w:style w:type="paragraph" w:styleId="ListBullet">
    <w:name w:val="List Bullet"/>
    <w:basedOn w:val="Normal"/>
    <w:uiPriority w:val="2"/>
    <w:qFormat/>
    <w:rsid w:val="00316310"/>
    <w:pPr>
      <w:numPr>
        <w:numId w:val="5"/>
      </w:numPr>
      <w:spacing w:after="60"/>
    </w:pPr>
    <w:rPr>
      <w:rFonts w:cstheme="minorBidi"/>
    </w:rPr>
  </w:style>
  <w:style w:type="paragraph" w:styleId="ListBullet2">
    <w:name w:val="List Bullet 2"/>
    <w:basedOn w:val="Normal"/>
    <w:uiPriority w:val="2"/>
    <w:rsid w:val="00316310"/>
    <w:pPr>
      <w:numPr>
        <w:ilvl w:val="1"/>
        <w:numId w:val="5"/>
      </w:numPr>
      <w:spacing w:after="60"/>
    </w:pPr>
    <w:rPr>
      <w:rFonts w:cstheme="minorBidi"/>
    </w:rPr>
  </w:style>
  <w:style w:type="paragraph" w:styleId="ListBullet3">
    <w:name w:val="List Bullet 3"/>
    <w:basedOn w:val="Normal"/>
    <w:uiPriority w:val="2"/>
    <w:rsid w:val="00316310"/>
    <w:pPr>
      <w:numPr>
        <w:ilvl w:val="2"/>
        <w:numId w:val="5"/>
      </w:numPr>
      <w:spacing w:after="60"/>
    </w:pPr>
    <w:rPr>
      <w:rFonts w:cstheme="minorBidi"/>
    </w:rPr>
  </w:style>
  <w:style w:type="paragraph" w:styleId="ListBullet4">
    <w:name w:val="List Bullet 4"/>
    <w:basedOn w:val="Normal"/>
    <w:uiPriority w:val="2"/>
    <w:rsid w:val="00316310"/>
    <w:pPr>
      <w:numPr>
        <w:ilvl w:val="3"/>
        <w:numId w:val="5"/>
      </w:numPr>
      <w:spacing w:after="60"/>
    </w:pPr>
    <w:rPr>
      <w:rFonts w:cstheme="minorBidi"/>
    </w:rPr>
  </w:style>
  <w:style w:type="paragraph" w:styleId="ListBullet5">
    <w:name w:val="List Bullet 5"/>
    <w:basedOn w:val="Normal"/>
    <w:uiPriority w:val="2"/>
    <w:rsid w:val="00316310"/>
    <w:pPr>
      <w:numPr>
        <w:ilvl w:val="4"/>
        <w:numId w:val="5"/>
      </w:numPr>
      <w:spacing w:after="60"/>
    </w:pPr>
    <w:rPr>
      <w:rFonts w:cstheme="minorBidi"/>
    </w:rPr>
  </w:style>
  <w:style w:type="numbering" w:customStyle="1" w:styleId="AgencyBullets">
    <w:name w:val="Agency Bullets"/>
    <w:uiPriority w:val="99"/>
    <w:rsid w:val="00316310"/>
    <w:pPr>
      <w:numPr>
        <w:numId w:val="1"/>
      </w:numPr>
    </w:pPr>
  </w:style>
  <w:style w:type="paragraph" w:styleId="ListNumber">
    <w:name w:val="List Number"/>
    <w:basedOn w:val="Normal"/>
    <w:uiPriority w:val="2"/>
    <w:qFormat/>
    <w:rsid w:val="00316310"/>
    <w:pPr>
      <w:numPr>
        <w:numId w:val="6"/>
      </w:numPr>
      <w:spacing w:after="60"/>
    </w:pPr>
    <w:rPr>
      <w:rFonts w:cstheme="minorBidi"/>
    </w:rPr>
  </w:style>
  <w:style w:type="paragraph" w:styleId="ListNumber2">
    <w:name w:val="List Number 2"/>
    <w:basedOn w:val="Normal"/>
    <w:uiPriority w:val="2"/>
    <w:rsid w:val="00316310"/>
    <w:pPr>
      <w:numPr>
        <w:ilvl w:val="1"/>
        <w:numId w:val="6"/>
      </w:numPr>
      <w:spacing w:after="60"/>
    </w:pPr>
    <w:rPr>
      <w:rFonts w:cstheme="minorBidi"/>
    </w:rPr>
  </w:style>
  <w:style w:type="paragraph" w:styleId="ListNumber3">
    <w:name w:val="List Number 3"/>
    <w:basedOn w:val="Normal"/>
    <w:uiPriority w:val="2"/>
    <w:rsid w:val="00316310"/>
    <w:pPr>
      <w:numPr>
        <w:ilvl w:val="2"/>
        <w:numId w:val="6"/>
      </w:numPr>
      <w:spacing w:after="60"/>
    </w:pPr>
    <w:rPr>
      <w:rFonts w:cstheme="minorBidi"/>
    </w:rPr>
  </w:style>
  <w:style w:type="paragraph" w:styleId="ListNumber4">
    <w:name w:val="List Number 4"/>
    <w:basedOn w:val="Normal"/>
    <w:uiPriority w:val="2"/>
    <w:rsid w:val="00316310"/>
    <w:pPr>
      <w:numPr>
        <w:ilvl w:val="3"/>
        <w:numId w:val="6"/>
      </w:numPr>
      <w:spacing w:after="60"/>
    </w:pPr>
    <w:rPr>
      <w:rFonts w:cstheme="minorBidi"/>
    </w:rPr>
  </w:style>
  <w:style w:type="paragraph" w:styleId="ListNumber5">
    <w:name w:val="List Number 5"/>
    <w:basedOn w:val="Normal"/>
    <w:uiPriority w:val="2"/>
    <w:rsid w:val="00316310"/>
    <w:pPr>
      <w:numPr>
        <w:ilvl w:val="4"/>
        <w:numId w:val="6"/>
      </w:numPr>
      <w:spacing w:after="60"/>
    </w:pPr>
    <w:rPr>
      <w:rFonts w:cstheme="minorBidi"/>
    </w:rPr>
  </w:style>
  <w:style w:type="numbering" w:customStyle="1" w:styleId="AgencyNumbers">
    <w:name w:val="Agency Numbers"/>
    <w:uiPriority w:val="99"/>
    <w:rsid w:val="00316310"/>
    <w:pPr>
      <w:numPr>
        <w:numId w:val="2"/>
      </w:numPr>
    </w:pPr>
  </w:style>
  <w:style w:type="paragraph" w:styleId="BodyText">
    <w:name w:val="Body Text"/>
    <w:basedOn w:val="Normal"/>
    <w:link w:val="BodyTextChar"/>
    <w:qFormat/>
    <w:rsid w:val="00316310"/>
    <w:pPr>
      <w:spacing w:after="200"/>
    </w:pPr>
    <w:rPr>
      <w:rFonts w:cstheme="minorBidi"/>
    </w:rPr>
  </w:style>
  <w:style w:type="character" w:customStyle="1" w:styleId="BodyTextChar">
    <w:name w:val="Body Text Char"/>
    <w:basedOn w:val="DefaultParagraphFont"/>
    <w:link w:val="BodyText"/>
    <w:rsid w:val="00316310"/>
    <w:rPr>
      <w:sz w:val="24"/>
      <w:szCs w:val="24"/>
    </w:rPr>
  </w:style>
  <w:style w:type="character" w:customStyle="1" w:styleId="Heading3Char">
    <w:name w:val="Heading 3 Char"/>
    <w:basedOn w:val="DefaultParagraphFont"/>
    <w:link w:val="Heading3"/>
    <w:uiPriority w:val="9"/>
    <w:rsid w:val="00316310"/>
    <w:rPr>
      <w:rFonts w:asciiTheme="majorHAnsi" w:eastAsiaTheme="majorEastAsia" w:hAnsiTheme="majorHAnsi" w:cstheme="majorBidi"/>
      <w:b/>
      <w:sz w:val="26"/>
      <w:szCs w:val="26"/>
    </w:rPr>
  </w:style>
  <w:style w:type="paragraph" w:styleId="BalloonText">
    <w:name w:val="Balloon Text"/>
    <w:basedOn w:val="Normal"/>
    <w:link w:val="BalloonTextChar"/>
    <w:uiPriority w:val="99"/>
    <w:semiHidden/>
    <w:unhideWhenUsed/>
    <w:rsid w:val="00316310"/>
    <w:rPr>
      <w:rFonts w:ascii="Tahoma" w:hAnsi="Tahoma" w:cs="Tahoma"/>
      <w:sz w:val="16"/>
      <w:szCs w:val="16"/>
    </w:rPr>
  </w:style>
  <w:style w:type="character" w:customStyle="1" w:styleId="BalloonTextChar">
    <w:name w:val="Balloon Text Char"/>
    <w:basedOn w:val="DefaultParagraphFont"/>
    <w:link w:val="BalloonText"/>
    <w:uiPriority w:val="99"/>
    <w:semiHidden/>
    <w:rsid w:val="00316310"/>
    <w:rPr>
      <w:rFonts w:ascii="Tahoma" w:hAnsi="Tahoma" w:cs="Tahoma"/>
      <w:sz w:val="16"/>
      <w:szCs w:val="16"/>
    </w:rPr>
  </w:style>
  <w:style w:type="paragraph" w:styleId="Header">
    <w:name w:val="header"/>
    <w:basedOn w:val="Normal"/>
    <w:link w:val="HeaderChar"/>
    <w:uiPriority w:val="99"/>
    <w:unhideWhenUsed/>
    <w:rsid w:val="00316310"/>
    <w:rPr>
      <w:rFonts w:cstheme="minorBidi"/>
    </w:rPr>
  </w:style>
  <w:style w:type="character" w:customStyle="1" w:styleId="HeaderChar">
    <w:name w:val="Header Char"/>
    <w:basedOn w:val="DefaultParagraphFont"/>
    <w:link w:val="Header"/>
    <w:uiPriority w:val="99"/>
    <w:rsid w:val="00316310"/>
    <w:rPr>
      <w:sz w:val="24"/>
      <w:szCs w:val="24"/>
    </w:rPr>
  </w:style>
  <w:style w:type="paragraph" w:styleId="Caption">
    <w:name w:val="caption"/>
    <w:basedOn w:val="Normal"/>
    <w:next w:val="Normal"/>
    <w:uiPriority w:val="35"/>
    <w:unhideWhenUsed/>
    <w:rsid w:val="00316310"/>
    <w:pPr>
      <w:keepNext/>
      <w:spacing w:after="200"/>
    </w:pPr>
    <w:rPr>
      <w:rFonts w:cstheme="minorBidi"/>
      <w:b/>
      <w:bCs/>
      <w:sz w:val="20"/>
      <w:szCs w:val="18"/>
    </w:rPr>
  </w:style>
  <w:style w:type="character" w:customStyle="1" w:styleId="Heading4Char">
    <w:name w:val="Heading 4 Char"/>
    <w:basedOn w:val="DefaultParagraphFont"/>
    <w:link w:val="Heading4"/>
    <w:uiPriority w:val="9"/>
    <w:rsid w:val="00316310"/>
    <w:rPr>
      <w:rFonts w:asciiTheme="majorHAnsi" w:eastAsiaTheme="majorEastAsia" w:hAnsiTheme="majorHAnsi" w:cstheme="majorBidi"/>
      <w:b/>
      <w:bCs/>
      <w:i/>
      <w:iCs/>
      <w:sz w:val="24"/>
      <w:szCs w:val="26"/>
    </w:rPr>
  </w:style>
  <w:style w:type="character" w:customStyle="1" w:styleId="Heading5Char">
    <w:name w:val="Heading 5 Char"/>
    <w:basedOn w:val="DefaultParagraphFont"/>
    <w:link w:val="Heading5"/>
    <w:uiPriority w:val="9"/>
    <w:rsid w:val="00316310"/>
    <w:rPr>
      <w:rFonts w:asciiTheme="majorHAnsi" w:eastAsiaTheme="majorEastAsia" w:hAnsiTheme="majorHAnsi" w:cstheme="majorBidi"/>
      <w:bCs/>
      <w:iCs/>
      <w:sz w:val="24"/>
      <w:szCs w:val="26"/>
    </w:rPr>
  </w:style>
  <w:style w:type="table" w:styleId="TableGrid">
    <w:name w:val="Table Grid"/>
    <w:basedOn w:val="TableNormal"/>
    <w:uiPriority w:val="59"/>
    <w:rsid w:val="00316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316310"/>
    <w:rPr>
      <w:rFonts w:cstheme="minorBidi"/>
    </w:rPr>
  </w:style>
  <w:style w:type="character" w:styleId="Hyperlink">
    <w:name w:val="Hyperlink"/>
    <w:basedOn w:val="DefaultParagraphFont"/>
    <w:uiPriority w:val="99"/>
    <w:unhideWhenUsed/>
    <w:rsid w:val="00316310"/>
    <w:rPr>
      <w:color w:val="0000FF" w:themeColor="hyperlink"/>
      <w:u w:val="single"/>
    </w:rPr>
  </w:style>
  <w:style w:type="table" w:customStyle="1" w:styleId="AgencyTable-Simple">
    <w:name w:val="Agency Table - Simple"/>
    <w:basedOn w:val="TableNormal"/>
    <w:uiPriority w:val="99"/>
    <w:qFormat/>
    <w:rsid w:val="00FF08A8"/>
    <w:pPr>
      <w:spacing w:after="0" w:line="240" w:lineRule="auto"/>
    </w:pPr>
    <w:rPr>
      <w:sz w:val="22"/>
    </w:rPr>
    <w:tblPr>
      <w:tblBorders>
        <w:top w:val="single" w:sz="4" w:space="0" w:color="auto"/>
        <w:bottom w:val="single" w:sz="4" w:space="0" w:color="auto"/>
      </w:tblBorders>
      <w:tblCellMar>
        <w:top w:w="85" w:type="dxa"/>
        <w:left w:w="85" w:type="dxa"/>
        <w:bottom w:w="85" w:type="dxa"/>
        <w:right w:w="85" w:type="dxa"/>
      </w:tblCellMar>
    </w:tblPr>
    <w:tblStylePr w:type="firstRow">
      <w:pPr>
        <w:keepNext/>
        <w:keepLines/>
        <w:wordWrap/>
      </w:pPr>
      <w:rPr>
        <w:b/>
      </w:rPr>
      <w:tblPr/>
      <w:trPr>
        <w:tblHeader/>
      </w:trPr>
      <w:tcPr>
        <w:tcBorders>
          <w:top w:val="single" w:sz="4" w:space="0" w:color="auto"/>
          <w:left w:val="nil"/>
          <w:bottom w:val="single" w:sz="4" w:space="0" w:color="auto"/>
          <w:right w:val="nil"/>
          <w:insideH w:val="nil"/>
          <w:insideV w:val="nil"/>
          <w:tl2br w:val="nil"/>
          <w:tr2bl w:val="nil"/>
        </w:tcBorders>
      </w:tcPr>
    </w:tblStylePr>
    <w:tblStylePr w:type="lastRow">
      <w:rPr>
        <w:b/>
        <w:i w:val="0"/>
      </w:rPr>
      <w:tblPr/>
      <w:tcPr>
        <w:tcBorders>
          <w:top w:val="single" w:sz="4" w:space="0" w:color="auto"/>
          <w:left w:val="nil"/>
          <w:bottom w:val="single" w:sz="4" w:space="0" w:color="auto"/>
          <w:right w:val="nil"/>
          <w:insideH w:val="nil"/>
          <w:insideV w:val="nil"/>
          <w:tl2br w:val="nil"/>
          <w:tr2bl w:val="nil"/>
        </w:tcBorders>
      </w:tcPr>
    </w:tblStylePr>
    <w:tblStylePr w:type="firstCol">
      <w:rPr>
        <w:b/>
      </w:rPr>
    </w:tblStylePr>
    <w:tblStylePr w:type="lastCol">
      <w:rPr>
        <w:b/>
      </w:rPr>
    </w:tblStylePr>
  </w:style>
  <w:style w:type="table" w:styleId="LightList-Accent1">
    <w:name w:val="Light List Accent 1"/>
    <w:basedOn w:val="TableNormal"/>
    <w:uiPriority w:val="61"/>
    <w:rsid w:val="0031631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3">
    <w:name w:val="Light Shading Accent 3"/>
    <w:basedOn w:val="TableNormal"/>
    <w:uiPriority w:val="60"/>
    <w:rsid w:val="0031631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2">
    <w:name w:val="Light List Accent 2"/>
    <w:basedOn w:val="TableNormal"/>
    <w:uiPriority w:val="61"/>
    <w:rsid w:val="0031631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2">
    <w:name w:val="Light Shading Accent 2"/>
    <w:basedOn w:val="TableNormal"/>
    <w:uiPriority w:val="60"/>
    <w:rsid w:val="0031631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FollowedHyperlink">
    <w:name w:val="FollowedHyperlink"/>
    <w:basedOn w:val="DefaultParagraphFont"/>
    <w:uiPriority w:val="99"/>
    <w:semiHidden/>
    <w:unhideWhenUsed/>
    <w:rsid w:val="00316310"/>
    <w:rPr>
      <w:color w:val="800080" w:themeColor="followedHyperlink"/>
      <w:u w:val="single"/>
    </w:rPr>
  </w:style>
  <w:style w:type="table" w:customStyle="1" w:styleId="Noborders">
    <w:name w:val="No borders"/>
    <w:basedOn w:val="TableNormal"/>
    <w:uiPriority w:val="99"/>
    <w:qFormat/>
    <w:rsid w:val="00316310"/>
    <w:pPr>
      <w:spacing w:after="0" w:line="240" w:lineRule="auto"/>
    </w:pPr>
    <w:tblPr>
      <w:tblCellMar>
        <w:top w:w="57" w:type="dxa"/>
        <w:bottom w:w="57" w:type="dxa"/>
      </w:tblCellMar>
    </w:tblPr>
  </w:style>
  <w:style w:type="character" w:styleId="PlaceholderText">
    <w:name w:val="Placeholder Text"/>
    <w:basedOn w:val="DefaultParagraphFont"/>
    <w:uiPriority w:val="99"/>
    <w:semiHidden/>
    <w:rsid w:val="00316310"/>
    <w:rPr>
      <w:color w:val="808080"/>
    </w:rPr>
  </w:style>
  <w:style w:type="table" w:customStyle="1" w:styleId="AgencyTable-Borders">
    <w:name w:val="Agency Table - Borders"/>
    <w:basedOn w:val="TableNormal"/>
    <w:uiPriority w:val="99"/>
    <w:qFormat/>
    <w:rsid w:val="00FF08A8"/>
    <w:pPr>
      <w:spacing w:after="0" w:line="240" w:lineRule="auto"/>
    </w:pPr>
    <w:rPr>
      <w:rFonts w:eastAsiaTheme="minorEastAsia"/>
      <w:sz w:val="22"/>
      <w:lang w:val="en-US" w:bidi="en-US"/>
    </w:rPr>
    <w:tblPr>
      <w:tblStyleRowBandSize w:val="1"/>
      <w:tblStyleColBandSize w:val="1"/>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CellMar>
        <w:top w:w="85" w:type="dxa"/>
        <w:left w:w="85" w:type="dxa"/>
        <w:bottom w:w="85" w:type="dxa"/>
        <w:right w:w="85" w:type="dxa"/>
      </w:tblCellMar>
    </w:tblPr>
    <w:tblStylePr w:type="firstRow">
      <w:pPr>
        <w:keepNext/>
        <w:keepLines/>
        <w:wordWrap/>
      </w:pPr>
      <w:rPr>
        <w:b/>
      </w:rPr>
      <w:tblPr/>
      <w:trPr>
        <w:tblHeader/>
      </w:trPr>
      <w:tcPr>
        <w:shd w:val="clear" w:color="auto" w:fill="E0E0E0"/>
      </w:tcPr>
    </w:tblStylePr>
    <w:tblStylePr w:type="lastRow">
      <w:rPr>
        <w:b/>
      </w:rPr>
      <w:tblPr/>
      <w:tcPr>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l2br w:val="nil"/>
          <w:tr2bl w:val="nil"/>
        </w:tcBorders>
        <w:shd w:val="clear" w:color="auto" w:fill="E0E0E0"/>
      </w:tcPr>
    </w:tblStylePr>
    <w:tblStylePr w:type="firstCol">
      <w:rPr>
        <w:b/>
      </w:rPr>
    </w:tblStylePr>
    <w:tblStylePr w:type="lastCol">
      <w:rPr>
        <w:b/>
      </w:rPr>
    </w:tblStylePr>
  </w:style>
  <w:style w:type="paragraph" w:styleId="TOCHeading">
    <w:name w:val="TOC Heading"/>
    <w:next w:val="Normal"/>
    <w:uiPriority w:val="39"/>
    <w:unhideWhenUsed/>
    <w:qFormat/>
    <w:rsid w:val="00316310"/>
    <w:pPr>
      <w:spacing w:before="360"/>
    </w:pPr>
    <w:rPr>
      <w:rFonts w:ascii="Arial" w:eastAsiaTheme="majorEastAsia" w:hAnsi="Arial" w:cstheme="majorBidi"/>
      <w:b/>
      <w:bCs/>
      <w:sz w:val="28"/>
      <w:szCs w:val="28"/>
      <w:lang w:val="en-US" w:bidi="en-US"/>
    </w:rPr>
  </w:style>
  <w:style w:type="paragraph" w:styleId="TOC1">
    <w:name w:val="toc 1"/>
    <w:basedOn w:val="Normal"/>
    <w:next w:val="Normal"/>
    <w:autoRedefine/>
    <w:uiPriority w:val="39"/>
    <w:unhideWhenUsed/>
    <w:rsid w:val="001A209E"/>
    <w:pPr>
      <w:tabs>
        <w:tab w:val="left" w:pos="567"/>
        <w:tab w:val="right" w:leader="dot" w:pos="9061"/>
      </w:tabs>
      <w:spacing w:after="100" w:line="264" w:lineRule="auto"/>
      <w:ind w:left="567" w:hanging="567"/>
    </w:pPr>
    <w:rPr>
      <w:rFonts w:cstheme="minorBidi"/>
      <w:noProof/>
      <w:sz w:val="22"/>
    </w:rPr>
  </w:style>
  <w:style w:type="paragraph" w:styleId="TOC2">
    <w:name w:val="toc 2"/>
    <w:basedOn w:val="Normal"/>
    <w:next w:val="Normal"/>
    <w:autoRedefine/>
    <w:uiPriority w:val="39"/>
    <w:unhideWhenUsed/>
    <w:rsid w:val="00682460"/>
    <w:pPr>
      <w:tabs>
        <w:tab w:val="left" w:pos="567"/>
        <w:tab w:val="right" w:leader="dot" w:pos="9061"/>
      </w:tabs>
      <w:spacing w:after="100" w:line="264" w:lineRule="auto"/>
      <w:ind w:left="567"/>
    </w:pPr>
    <w:rPr>
      <w:rFonts w:cstheme="minorBidi"/>
      <w:noProof/>
      <w:sz w:val="20"/>
    </w:rPr>
  </w:style>
  <w:style w:type="paragraph" w:styleId="TOC3">
    <w:name w:val="toc 3"/>
    <w:basedOn w:val="Normal"/>
    <w:next w:val="Normal"/>
    <w:autoRedefine/>
    <w:uiPriority w:val="39"/>
    <w:unhideWhenUsed/>
    <w:rsid w:val="00316310"/>
    <w:pPr>
      <w:tabs>
        <w:tab w:val="left" w:pos="1701"/>
        <w:tab w:val="right" w:leader="dot" w:pos="9072"/>
      </w:tabs>
      <w:spacing w:after="100" w:line="264" w:lineRule="auto"/>
      <w:ind w:left="1701" w:hanging="567"/>
    </w:pPr>
    <w:rPr>
      <w:rFonts w:cstheme="minorBidi"/>
    </w:rPr>
  </w:style>
  <w:style w:type="paragraph" w:customStyle="1" w:styleId="BodyTextSmall">
    <w:name w:val="Body Text Small"/>
    <w:basedOn w:val="BodyText"/>
    <w:qFormat/>
    <w:rsid w:val="00316310"/>
    <w:rPr>
      <w:sz w:val="20"/>
    </w:rPr>
  </w:style>
  <w:style w:type="numbering" w:customStyle="1" w:styleId="AgencyTableBullets">
    <w:name w:val="Agency Table Bullets"/>
    <w:uiPriority w:val="99"/>
    <w:rsid w:val="00316310"/>
    <w:pPr>
      <w:numPr>
        <w:numId w:val="3"/>
      </w:numPr>
    </w:pPr>
  </w:style>
  <w:style w:type="numbering" w:customStyle="1" w:styleId="AgencyTableNumbers">
    <w:name w:val="Agency Table Numbers"/>
    <w:uiPriority w:val="99"/>
    <w:rsid w:val="00316310"/>
    <w:pPr>
      <w:numPr>
        <w:numId w:val="4"/>
      </w:numPr>
    </w:pPr>
  </w:style>
  <w:style w:type="character" w:customStyle="1" w:styleId="Heading6Char">
    <w:name w:val="Heading 6 Char"/>
    <w:basedOn w:val="DefaultParagraphFont"/>
    <w:link w:val="Heading6"/>
    <w:uiPriority w:val="9"/>
    <w:rsid w:val="00316310"/>
    <w:rPr>
      <w:rFonts w:asciiTheme="majorHAnsi" w:eastAsiaTheme="majorEastAsia" w:hAnsiTheme="majorHAnsi" w:cstheme="majorBidi"/>
      <w:bCs/>
      <w:i/>
      <w:sz w:val="24"/>
      <w:szCs w:val="26"/>
    </w:rPr>
  </w:style>
  <w:style w:type="paragraph" w:styleId="ListParagraph">
    <w:name w:val="List Paragraph"/>
    <w:basedOn w:val="Normal"/>
    <w:uiPriority w:val="34"/>
    <w:qFormat/>
    <w:rsid w:val="00316310"/>
    <w:pPr>
      <w:ind w:left="720"/>
      <w:contextualSpacing/>
    </w:pPr>
    <w:rPr>
      <w:rFonts w:cstheme="minorBidi"/>
    </w:rPr>
  </w:style>
  <w:style w:type="paragraph" w:customStyle="1" w:styleId="Notetext">
    <w:name w:val="Note text"/>
    <w:basedOn w:val="Normal"/>
    <w:uiPriority w:val="8"/>
    <w:qFormat/>
    <w:rsid w:val="00316310"/>
    <w:pPr>
      <w:pBdr>
        <w:left w:val="single" w:sz="36" w:space="4" w:color="CCCCCC"/>
      </w:pBdr>
    </w:pPr>
    <w:rPr>
      <w:rFonts w:cstheme="minorBidi"/>
      <w:sz w:val="20"/>
    </w:rPr>
  </w:style>
  <w:style w:type="paragraph" w:styleId="Subtitle">
    <w:name w:val="Subtitle"/>
    <w:basedOn w:val="Normal"/>
    <w:next w:val="Normal"/>
    <w:link w:val="SubtitleChar"/>
    <w:uiPriority w:val="11"/>
    <w:qFormat/>
    <w:rsid w:val="00316310"/>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316310"/>
    <w:rPr>
      <w:rFonts w:asciiTheme="majorHAnsi" w:eastAsiaTheme="majorEastAsia" w:hAnsiTheme="majorHAnsi" w:cstheme="majorBidi"/>
      <w:i/>
      <w:iCs/>
      <w:spacing w:val="15"/>
      <w:sz w:val="24"/>
      <w:szCs w:val="24"/>
    </w:rPr>
  </w:style>
  <w:style w:type="paragraph" w:customStyle="1" w:styleId="TableText">
    <w:name w:val="Table Text"/>
    <w:basedOn w:val="Normal"/>
    <w:link w:val="TableTextChar"/>
    <w:uiPriority w:val="3"/>
    <w:qFormat/>
    <w:rsid w:val="00316310"/>
    <w:rPr>
      <w:rFonts w:eastAsiaTheme="minorEastAsia" w:cstheme="minorBidi"/>
      <w:sz w:val="22"/>
      <w:szCs w:val="22"/>
      <w:lang w:val="en-US" w:bidi="en-US"/>
    </w:rPr>
  </w:style>
  <w:style w:type="character" w:customStyle="1" w:styleId="TableTextChar">
    <w:name w:val="Table Text Char"/>
    <w:basedOn w:val="DefaultParagraphFont"/>
    <w:link w:val="TableText"/>
    <w:uiPriority w:val="3"/>
    <w:rsid w:val="00316310"/>
    <w:rPr>
      <w:rFonts w:eastAsiaTheme="minorEastAsia"/>
      <w:lang w:val="en-US" w:bidi="en-US"/>
    </w:rPr>
  </w:style>
  <w:style w:type="paragraph" w:customStyle="1" w:styleId="TableBullet">
    <w:name w:val="Table Bullet"/>
    <w:basedOn w:val="TableText"/>
    <w:uiPriority w:val="4"/>
    <w:qFormat/>
    <w:rsid w:val="00316310"/>
    <w:pPr>
      <w:numPr>
        <w:numId w:val="7"/>
      </w:numPr>
    </w:pPr>
  </w:style>
  <w:style w:type="paragraph" w:customStyle="1" w:styleId="TableNumber">
    <w:name w:val="Table Number"/>
    <w:basedOn w:val="TableText"/>
    <w:uiPriority w:val="4"/>
    <w:qFormat/>
    <w:rsid w:val="00316310"/>
    <w:pPr>
      <w:numPr>
        <w:numId w:val="8"/>
      </w:numPr>
    </w:pPr>
  </w:style>
  <w:style w:type="paragraph" w:customStyle="1" w:styleId="TableTextSmall">
    <w:name w:val="Table Text Small"/>
    <w:basedOn w:val="TableText"/>
    <w:uiPriority w:val="3"/>
    <w:qFormat/>
    <w:rsid w:val="00316310"/>
    <w:rPr>
      <w:sz w:val="20"/>
    </w:rPr>
  </w:style>
  <w:style w:type="paragraph" w:styleId="Title">
    <w:name w:val="Title"/>
    <w:basedOn w:val="Normal"/>
    <w:next w:val="Normal"/>
    <w:link w:val="TitleChar"/>
    <w:uiPriority w:val="10"/>
    <w:qFormat/>
    <w:rsid w:val="00316310"/>
    <w:pPr>
      <w:pBdr>
        <w:bottom w:val="single" w:sz="8" w:space="4" w:color="auto"/>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316310"/>
    <w:rPr>
      <w:rFonts w:asciiTheme="majorHAnsi" w:eastAsiaTheme="majorEastAsia" w:hAnsiTheme="majorHAnsi" w:cstheme="majorBidi"/>
      <w:spacing w:val="5"/>
      <w:kern w:val="28"/>
      <w:sz w:val="52"/>
      <w:szCs w:val="52"/>
    </w:rPr>
  </w:style>
  <w:style w:type="table" w:styleId="LightShading-Accent1">
    <w:name w:val="Light Shading Accent 1"/>
    <w:basedOn w:val="TableNormal"/>
    <w:uiPriority w:val="60"/>
    <w:rsid w:val="0089012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rsid w:val="005823D1"/>
  </w:style>
  <w:style w:type="paragraph" w:styleId="TOC4">
    <w:name w:val="toc 4"/>
    <w:basedOn w:val="Normal"/>
    <w:next w:val="Normal"/>
    <w:autoRedefine/>
    <w:uiPriority w:val="39"/>
    <w:unhideWhenUsed/>
    <w:rsid w:val="00ED1616"/>
    <w:pPr>
      <w:spacing w:after="100"/>
      <w:ind w:left="660"/>
    </w:pPr>
    <w:rPr>
      <w:rFonts w:eastAsiaTheme="minorEastAsia" w:cstheme="minorBidi"/>
      <w:sz w:val="22"/>
      <w:szCs w:val="22"/>
      <w:lang w:eastAsia="en-AU"/>
    </w:rPr>
  </w:style>
  <w:style w:type="paragraph" w:styleId="TOC5">
    <w:name w:val="toc 5"/>
    <w:basedOn w:val="Normal"/>
    <w:next w:val="Normal"/>
    <w:autoRedefine/>
    <w:uiPriority w:val="39"/>
    <w:unhideWhenUsed/>
    <w:rsid w:val="00ED1616"/>
    <w:pPr>
      <w:spacing w:after="100"/>
      <w:ind w:left="880"/>
    </w:pPr>
    <w:rPr>
      <w:rFonts w:eastAsiaTheme="minorEastAsia" w:cstheme="minorBidi"/>
      <w:sz w:val="22"/>
      <w:szCs w:val="22"/>
      <w:lang w:eastAsia="en-AU"/>
    </w:rPr>
  </w:style>
  <w:style w:type="paragraph" w:styleId="TOC6">
    <w:name w:val="toc 6"/>
    <w:basedOn w:val="Normal"/>
    <w:next w:val="Normal"/>
    <w:autoRedefine/>
    <w:uiPriority w:val="39"/>
    <w:unhideWhenUsed/>
    <w:rsid w:val="00ED1616"/>
    <w:pPr>
      <w:spacing w:after="100"/>
      <w:ind w:left="1100"/>
    </w:pPr>
    <w:rPr>
      <w:rFonts w:eastAsiaTheme="minorEastAsia" w:cstheme="minorBidi"/>
      <w:sz w:val="22"/>
      <w:szCs w:val="22"/>
      <w:lang w:eastAsia="en-AU"/>
    </w:rPr>
  </w:style>
  <w:style w:type="paragraph" w:styleId="TOC7">
    <w:name w:val="toc 7"/>
    <w:basedOn w:val="Normal"/>
    <w:next w:val="Normal"/>
    <w:autoRedefine/>
    <w:uiPriority w:val="39"/>
    <w:unhideWhenUsed/>
    <w:rsid w:val="00ED1616"/>
    <w:pPr>
      <w:spacing w:after="100"/>
      <w:ind w:left="1320"/>
    </w:pPr>
    <w:rPr>
      <w:rFonts w:eastAsiaTheme="minorEastAsia" w:cstheme="minorBidi"/>
      <w:sz w:val="22"/>
      <w:szCs w:val="22"/>
      <w:lang w:eastAsia="en-AU"/>
    </w:rPr>
  </w:style>
  <w:style w:type="paragraph" w:styleId="TOC8">
    <w:name w:val="toc 8"/>
    <w:basedOn w:val="Normal"/>
    <w:next w:val="Normal"/>
    <w:autoRedefine/>
    <w:uiPriority w:val="39"/>
    <w:unhideWhenUsed/>
    <w:rsid w:val="00ED1616"/>
    <w:pPr>
      <w:spacing w:after="100"/>
      <w:ind w:left="1540"/>
    </w:pPr>
    <w:rPr>
      <w:rFonts w:eastAsiaTheme="minorEastAsia" w:cstheme="minorBidi"/>
      <w:sz w:val="22"/>
      <w:szCs w:val="22"/>
      <w:lang w:eastAsia="en-AU"/>
    </w:rPr>
  </w:style>
  <w:style w:type="paragraph" w:styleId="TOC9">
    <w:name w:val="toc 9"/>
    <w:basedOn w:val="Normal"/>
    <w:next w:val="Normal"/>
    <w:autoRedefine/>
    <w:uiPriority w:val="39"/>
    <w:unhideWhenUsed/>
    <w:rsid w:val="00ED1616"/>
    <w:pPr>
      <w:spacing w:after="100"/>
      <w:ind w:left="1760"/>
    </w:pPr>
    <w:rPr>
      <w:rFonts w:eastAsiaTheme="minorEastAsia" w:cstheme="minorBidi"/>
      <w:sz w:val="22"/>
      <w:szCs w:val="22"/>
      <w:lang w:eastAsia="en-AU"/>
    </w:rPr>
  </w:style>
  <w:style w:type="paragraph" w:styleId="NoSpacing">
    <w:name w:val="No Spacing"/>
    <w:aliases w:val="Guide Text"/>
    <w:basedOn w:val="Normal"/>
    <w:uiPriority w:val="1"/>
    <w:qFormat/>
    <w:rsid w:val="00ED1616"/>
    <w:pPr>
      <w:spacing w:before="120" w:after="120" w:line="240" w:lineRule="auto"/>
      <w:jc w:val="both"/>
    </w:pPr>
    <w:rPr>
      <w:rFonts w:ascii="Arial" w:eastAsiaTheme="minorHAnsi" w:hAnsi="Arial" w:cstheme="minorBidi"/>
      <w:szCs w:val="22"/>
    </w:rPr>
  </w:style>
  <w:style w:type="paragraph" w:customStyle="1" w:styleId="Default">
    <w:name w:val="Default"/>
    <w:rsid w:val="00ED1616"/>
    <w:pPr>
      <w:autoSpaceDE w:val="0"/>
      <w:autoSpaceDN w:val="0"/>
      <w:adjustRightInd w:val="0"/>
      <w:spacing w:after="0" w:line="240" w:lineRule="auto"/>
    </w:pPr>
    <w:rPr>
      <w:rFonts w:ascii="Arial" w:eastAsiaTheme="minorHAns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46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safeworkaustralia.gov.au/doc/model-work-health-and-safety-act" TargetMode="External"/><Relationship Id="rId26" Type="http://schemas.openxmlformats.org/officeDocument/2006/relationships/hyperlink" Target="https://www.legislation.wa.gov.au/legislation/statutes.nsf/law_s48065.html" TargetMode="External"/><Relationship Id="rId3" Type="http://schemas.openxmlformats.org/officeDocument/2006/relationships/customXml" Target="../customXml/item3.xml"/><Relationship Id="rId21" Type="http://schemas.openxmlformats.org/officeDocument/2006/relationships/hyperlink" Target="http://www.commerce.wa.gov.au/publications/review-process-summary-develop-work-health-and-safety-regulations-western-australia"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commerce.wa.gov.au/sites/default/files/atoms/files/002237.safety.comms__0.docx" TargetMode="Externa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legislation.wa.gov.au/legislation/statutes.nsf/law_s4665.html"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ommerce.wa.gov.au/sites/default/files/atoms/files/002096.safety.comms__0.docx" TargetMode="External"/><Relationship Id="rId32"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commerce.wa.gov.au/sites/default/files/atoms/files/002978.safety.comms_.docx" TargetMode="External"/><Relationship Id="rId28" Type="http://schemas.openxmlformats.org/officeDocument/2006/relationships/header" Target="header4.xm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safeworkaustralia.gov.au/doc/model-work-health-and-safety-regulations" TargetMode="Externa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commerce.wa.gov.au/sites/default/files/atoms/files/002978.safety.comms_.docx" TargetMode="External"/><Relationship Id="rId27" Type="http://schemas.openxmlformats.org/officeDocument/2006/relationships/hyperlink" Target="https://www.commerce.wa.gov.au/sites/default/files/atoms/files/002734.safety.comms_.docx" TargetMode="External"/><Relationship Id="rId30" Type="http://schemas.openxmlformats.org/officeDocument/2006/relationships/footer" Target="footer4.xml"/><Relationship Id="rId35"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qms.internal.dom/corporate/Templates/DT_ReportGeneralCov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522DB2258FF4B088313C8D800F81CE9"/>
        <w:category>
          <w:name w:val="General"/>
          <w:gallery w:val="placeholder"/>
        </w:category>
        <w:types>
          <w:type w:val="bbPlcHdr"/>
        </w:types>
        <w:behaviors>
          <w:behavior w:val="content"/>
        </w:behaviors>
        <w:guid w:val="{DCF9FD45-28AE-4339-9AA1-0F8D61FAE244}"/>
      </w:docPartPr>
      <w:docPartBody>
        <w:p w:rsidR="00BF4601" w:rsidRDefault="00F7363F">
          <w:pPr>
            <w:pStyle w:val="D522DB2258FF4B088313C8D800F81CE9"/>
          </w:pPr>
          <w:r w:rsidRPr="00623C56">
            <w:rPr>
              <w:rStyle w:val="PlaceholderText"/>
              <w:rFonts w:eastAsiaTheme="majorEastAsia"/>
              <w:sz w:val="60"/>
              <w:szCs w:val="60"/>
            </w:rPr>
            <w:t>Enter Report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AAE"/>
    <w:rsid w:val="00206AAE"/>
    <w:rsid w:val="0029503D"/>
    <w:rsid w:val="002F555C"/>
    <w:rsid w:val="00336E38"/>
    <w:rsid w:val="003A4681"/>
    <w:rsid w:val="00405DDB"/>
    <w:rsid w:val="00510615"/>
    <w:rsid w:val="006059D4"/>
    <w:rsid w:val="009F5DDB"/>
    <w:rsid w:val="00A238A2"/>
    <w:rsid w:val="00A9016A"/>
    <w:rsid w:val="00B207C9"/>
    <w:rsid w:val="00BF4601"/>
    <w:rsid w:val="00D032C4"/>
    <w:rsid w:val="00E14C02"/>
    <w:rsid w:val="00E317EE"/>
    <w:rsid w:val="00F736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38A2"/>
    <w:rPr>
      <w:color w:val="808080"/>
    </w:rPr>
  </w:style>
  <w:style w:type="paragraph" w:customStyle="1" w:styleId="D522DB2258FF4B088313C8D800F81CE9">
    <w:name w:val="D522DB2258FF4B088313C8D800F81CE9"/>
  </w:style>
  <w:style w:type="paragraph" w:customStyle="1" w:styleId="F166A209F05D4435976EFA765D1FA1DA">
    <w:name w:val="F166A209F05D4435976EFA765D1FA1DA"/>
  </w:style>
  <w:style w:type="paragraph" w:customStyle="1" w:styleId="00A94D10206F4BFA848419241B7EDE4B">
    <w:name w:val="00A94D10206F4BFA848419241B7EDE4B"/>
  </w:style>
  <w:style w:type="paragraph" w:customStyle="1" w:styleId="856B86E8B0254B3A9862DD6CE63E5DF1">
    <w:name w:val="856B86E8B0254B3A9862DD6CE63E5DF1"/>
    <w:rsid w:val="00206AAE"/>
  </w:style>
  <w:style w:type="paragraph" w:customStyle="1" w:styleId="FCCBD7F30B59433A99FEB2F108C17C0F">
    <w:name w:val="FCCBD7F30B59433A99FEB2F108C17C0F"/>
    <w:rsid w:val="00206AAE"/>
  </w:style>
  <w:style w:type="paragraph" w:customStyle="1" w:styleId="345D34D3043C4118AA77856F09F4E433">
    <w:name w:val="345D34D3043C4118AA77856F09F4E433"/>
    <w:rsid w:val="00206AAE"/>
  </w:style>
  <w:style w:type="paragraph" w:customStyle="1" w:styleId="EB196C89C2EC41D1AD6D765460E8BA85">
    <w:name w:val="EB196C89C2EC41D1AD6D765460E8BA85"/>
    <w:rsid w:val="00206AAE"/>
  </w:style>
  <w:style w:type="paragraph" w:customStyle="1" w:styleId="63C4C30E9A0A4EEDAB3B460EF3630691">
    <w:name w:val="63C4C30E9A0A4EEDAB3B460EF3630691"/>
    <w:rsid w:val="00206AAE"/>
  </w:style>
  <w:style w:type="paragraph" w:customStyle="1" w:styleId="FC860F89882642D2AD6A0E8E0C4C43AF">
    <w:name w:val="FC860F89882642D2AD6A0E8E0C4C43AF"/>
    <w:rsid w:val="00A238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BA93749351D2F843A36296955CF57A87" ma:contentTypeVersion="16" ma:contentTypeDescription="Create a new document." ma:contentTypeScope="" ma:versionID="c4ef73400446e57c930e0ecafee92863">
  <xsd:schema xmlns:xsd="http://www.w3.org/2001/XMLSchema" xmlns:xs="http://www.w3.org/2001/XMLSchema" xmlns:p="http://schemas.microsoft.com/office/2006/metadata/properties" xmlns:ns2="dce3ed02-b0cd-470d-9119-e5f1a2533a21" targetNamespace="http://schemas.microsoft.com/office/2006/metadata/properties" ma:root="true" ma:fieldsID="5d031b32c981ffdabdc09817a45c8b8d" ns2:_="">
    <xsd:import namespace="dce3ed02-b0cd-470d-9119-e5f1a2533a21"/>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3ed02-b0cd-470d-9119-e5f1a2533a21"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format="Dropdown" ma:internalName="OurDocsDocumentType" ma:readOnly="false">
      <xsd:simpleType>
        <xsd:restriction base="dms:Choice">
          <xsd:enumeration value="Administration"/>
          <xsd:enumeration value="Agenda"/>
          <xsd:enumeration value="Appointment"/>
          <xsd:enumeration value="Briefing Note"/>
          <xsd:enumeration value="Certificate of Competency"/>
          <xsd:enumeration value="Corporate Executive"/>
          <xsd:enumeration value="Corporate Form"/>
          <xsd:enumeration value="Corporate Policy"/>
          <xsd:enumeration value="Corporate Procedure"/>
          <xsd:enumeration value="Document"/>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p"/>
          <xsd:enumeration value="Memorandum"/>
          <xsd:enumeration value="Ministerial"/>
          <xsd:enumeration value="Minutes"/>
          <xsd:enumeration value="Other"/>
          <xsd:enumeration value="Permit"/>
          <xsd:enumeration value="Photos"/>
          <xsd:enumeration value="Policy"/>
          <xsd:enumeration value="Press Clipping"/>
          <xsd:enumeration value="Press Release"/>
          <xsd:enumeration value="Procurement"/>
          <xsd:enumeration value="Production Report"/>
          <xsd:enumeration value="Report"/>
          <xsd:enumeration value="Risk Management"/>
          <xsd:enumeration value="Royalty Audit"/>
          <xsd:enumeration value="Royalty Payment/Revenue"/>
          <xsd:enumeration value="Royalty Return"/>
          <xsd:enumeration value="Safety Bulletin"/>
          <xsd:enumeration value="Speech"/>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47aadd75-fb41-49d7-866d-414b51aa1b7e" ContentTypeId="0x0101000AC6246A9CD2FC45B52DC6FEC0F0AAAA" PreviousValue="false"/>
</file>

<file path=customXml/item3.xml><?xml version="1.0" encoding="utf-8"?>
<p:properties xmlns:p="http://schemas.microsoft.com/office/2006/metadata/properties" xmlns:xsi="http://www.w3.org/2001/XMLSchema-instance" xmlns:pc="http://schemas.microsoft.com/office/infopath/2007/PartnerControls">
  <documentManagement>
    <OurDocsIsRecordsDocument xmlns="dce3ed02-b0cd-470d-9119-e5f1a2533a21">false</OurDocsIsRecordsDocument>
    <OurDocsDataStore xmlns="dce3ed02-b0cd-470d-9119-e5f1a2533a21">Central</OurDocsDataStore>
    <OurDocsDocId xmlns="dce3ed02-b0cd-470d-9119-e5f1a2533a21">002991.safety.comms</OurDocsDocId>
    <OurDocsVersionCreatedBy xmlns="dce3ed02-b0cd-470d-9119-e5f1a2533a21">MIRSDBN</OurDocsVersionCreatedBy>
    <OurDocsIsLocked xmlns="dce3ed02-b0cd-470d-9119-e5f1a2533a21">false</OurDocsIsLocked>
    <OurDocsDocumentType xmlns="dce3ed02-b0cd-470d-9119-e5f1a2533a21">Report</OurDocsDocumentType>
    <OurDocsFileNumbers xmlns="dce3ed02-b0cd-470d-9119-e5f1a2533a21" xsi:nil="true"/>
    <OurDocsLockedOnBehalfOf xmlns="dce3ed02-b0cd-470d-9119-e5f1a2533a21" xsi:nil="true"/>
    <OurDocsDocumentDate xmlns="dce3ed02-b0cd-470d-9119-e5f1a2533a21">2019-08-21T16:00:00+00:00</OurDocsDocumentDate>
    <OurDocsVersionCreatedAt xmlns="dce3ed02-b0cd-470d-9119-e5f1a2533a21">2019-08-22T01:15:42+00:00</OurDocsVersionCreatedAt>
    <OurDocsReleaseClassification xmlns="dce3ed02-b0cd-470d-9119-e5f1a2533a21">For Public Release</OurDocsReleaseClassification>
    <OurDocsTitle xmlns="dce3ed02-b0cd-470d-9119-e5f1a2533a21">3. Differences OHS reg vs WHS regs</OurDocsTitle>
    <OurDocsLocation xmlns="dce3ed02-b0cd-470d-9119-e5f1a2533a21">Perth</OurDocsLocation>
    <OurDocsDescription xmlns="dce3ed02-b0cd-470d-9119-e5f1a2533a21">For 23 August 2019 upload</OurDocsDescription>
    <OurDocsVersionReason xmlns="dce3ed02-b0cd-470d-9119-e5f1a2533a21" xsi:nil="true"/>
    <OurDocsAuthor xmlns="dce3ed02-b0cd-470d-9119-e5f1a2533a21">MOORE, Bec</OurDocsAuthor>
    <OurDocsLockedBy xmlns="dce3ed02-b0cd-470d-9119-e5f1a2533a21" xsi:nil="true"/>
    <OurDocsLockedOn xmlns="dce3ed02-b0cd-470d-9119-e5f1a2533a21" xsi:nil="true"/>
    <OurDocsVersionNumber xmlns="dce3ed02-b0cd-470d-9119-e5f1a2533a21">1</OurDocsVersionNumber>
    <OurDocsDocumentSource xmlns="dce3ed02-b0cd-470d-9119-e5f1a2533a21">Internal</OurDocsDocumentSour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2AD60-16DC-44C6-9EEE-8E2AC44D0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3ed02-b0cd-470d-9119-e5f1a2533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04F6D8-6DB7-4E5E-9525-3808D4FC872F}">
  <ds:schemaRefs>
    <ds:schemaRef ds:uri="Microsoft.SharePoint.Taxonomy.ContentTypeSync"/>
  </ds:schemaRefs>
</ds:datastoreItem>
</file>

<file path=customXml/itemProps3.xml><?xml version="1.0" encoding="utf-8"?>
<ds:datastoreItem xmlns:ds="http://schemas.openxmlformats.org/officeDocument/2006/customXml" ds:itemID="{05D0ADC5-CA70-492B-ADE4-CBBC617A2699}">
  <ds:schemaRefs>
    <ds:schemaRef ds:uri="http://schemas.microsoft.com/office/2006/metadata/properties"/>
    <ds:schemaRef ds:uri="http://schemas.microsoft.com/office/infopath/2007/PartnerControls"/>
    <ds:schemaRef ds:uri="dce3ed02-b0cd-470d-9119-e5f1a2533a21"/>
  </ds:schemaRefs>
</ds:datastoreItem>
</file>

<file path=customXml/itemProps4.xml><?xml version="1.0" encoding="utf-8"?>
<ds:datastoreItem xmlns:ds="http://schemas.openxmlformats.org/officeDocument/2006/customXml" ds:itemID="{30A7A603-8655-4377-B5AF-9C4AEFDEE159}">
  <ds:schemaRefs>
    <ds:schemaRef ds:uri="http://schemas.microsoft.com/sharepoint/v3/contenttype/forms"/>
  </ds:schemaRefs>
</ds:datastoreItem>
</file>

<file path=customXml/itemProps5.xml><?xml version="1.0" encoding="utf-8"?>
<ds:datastoreItem xmlns:ds="http://schemas.openxmlformats.org/officeDocument/2006/customXml" ds:itemID="{AC4E00D4-E0A7-4CD8-AB89-58381C28F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DT_ReportGeneralCover</Template>
  <TotalTime>10</TotalTime>
  <Pages>34</Pages>
  <Words>11758</Words>
  <Characters>64555</Characters>
  <Application>Microsoft Office Word</Application>
  <DocSecurity>0</DocSecurity>
  <Lines>2806</Lines>
  <Paragraphs>820</Paragraphs>
  <ScaleCrop>false</ScaleCrop>
  <HeadingPairs>
    <vt:vector size="2" baseType="variant">
      <vt:variant>
        <vt:lpstr>Title</vt:lpstr>
      </vt:variant>
      <vt:variant>
        <vt:i4>1</vt:i4>
      </vt:variant>
    </vt:vector>
  </HeadingPairs>
  <TitlesOfParts>
    <vt:vector size="1" baseType="lpstr">
      <vt:lpstr>3. Differences OHS reg vs WHS regs</vt:lpstr>
    </vt:vector>
  </TitlesOfParts>
  <Company>Department of Mines, Industry Regulation and Safety</Company>
  <LinksUpToDate>false</LinksUpToDate>
  <CharactersWithSpaces>75493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Differences OHS reg vs WHS regs</dc:title>
  <dc:subject>For 23 August 2019 upload</dc:subject>
  <dc:creator>Department of Mines</dc:creator>
  <dc:description>FileNo=&lt;!&gt;</dc:description>
  <cp:lastModifiedBy>STAIN, Lin</cp:lastModifiedBy>
  <cp:revision>6</cp:revision>
  <cp:lastPrinted>2015-09-24T03:11:00Z</cp:lastPrinted>
  <dcterms:created xsi:type="dcterms:W3CDTF">2019-08-26T03:43:00Z</dcterms:created>
  <dcterms:modified xsi:type="dcterms:W3CDTF">2019-08-26T04:28:00Z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alTemplatesBranding">
    <vt:lpwstr>Agency</vt:lpwstr>
  </property>
  <property fmtid="{D5CDD505-2E9C-101B-9397-08002B2CF9AE}" pid="3" name="IsRecordsDocument">
    <vt:bool>true</vt:bool>
  </property>
  <property fmtid="{D5CDD505-2E9C-101B-9397-08002B2CF9AE}" pid="4" name="DocumentType">
    <vt:lpwstr>Report</vt:lpwstr>
  </property>
  <property fmtid="{D5CDD505-2E9C-101B-9397-08002B2CF9AE}" pid="5" name="ReleaseClassification">
    <vt:lpwstr>For Public Release</vt:lpwstr>
  </property>
  <property fmtid="{D5CDD505-2E9C-101B-9397-08002B2CF9AE}" pid="6" name="ContentTypeId">
    <vt:lpwstr>0x0101000AC6246A9CD2FC45B52DC6FEC0F0AAAA00BA93749351D2F843A36296955CF57A87</vt:lpwstr>
  </property>
  <property fmtid="{D5CDD505-2E9C-101B-9397-08002B2CF9AE}" pid="7" name="DataStore">
    <vt:lpwstr>Central</vt:lpwstr>
  </property>
</Properties>
</file>